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9A57E" w14:textId="54B93DD9" w:rsidR="006A0148" w:rsidRPr="008717F9" w:rsidRDefault="006A0148" w:rsidP="006A0148">
      <w:pPr>
        <w:jc w:val="both"/>
        <w:rPr>
          <w:rFonts w:cs="Arial"/>
        </w:rPr>
      </w:pPr>
      <w:r w:rsidRPr="005E3D5C">
        <w:rPr>
          <w:rFonts w:cs="Arial"/>
        </w:rPr>
        <w:fldChar w:fldCharType="begin"/>
      </w:r>
      <w:r w:rsidRPr="005E3D5C">
        <w:rPr>
          <w:rFonts w:cs="Arial"/>
        </w:rPr>
        <w:instrText xml:space="preserve"> CREATEDATE \@ "d MMMM yyyy" \* MERGEFORMAT </w:instrText>
      </w:r>
      <w:r w:rsidRPr="005E3D5C">
        <w:rPr>
          <w:rFonts w:cs="Arial"/>
        </w:rPr>
        <w:fldChar w:fldCharType="separate"/>
      </w:r>
      <w:r w:rsidR="004A6F97" w:rsidRPr="005E3D5C">
        <w:rPr>
          <w:rFonts w:cs="Arial"/>
          <w:noProof/>
        </w:rPr>
        <w:t>2</w:t>
      </w:r>
      <w:r w:rsidR="00AE2102" w:rsidRPr="005E3D5C">
        <w:rPr>
          <w:rFonts w:cs="Arial"/>
          <w:noProof/>
        </w:rPr>
        <w:t>0</w:t>
      </w:r>
      <w:r w:rsidR="00255EDE" w:rsidRPr="005E3D5C">
        <w:rPr>
          <w:rFonts w:cs="Arial"/>
          <w:noProof/>
        </w:rPr>
        <w:t xml:space="preserve"> November 2023</w:t>
      </w:r>
      <w:r w:rsidRPr="005E3D5C">
        <w:rPr>
          <w:rFonts w:cs="Arial"/>
        </w:rPr>
        <w:fldChar w:fldCharType="end"/>
      </w:r>
    </w:p>
    <w:p w14:paraId="1FAE8EF1" w14:textId="77777777" w:rsidR="006A0148" w:rsidRPr="008717F9" w:rsidRDefault="006A0148" w:rsidP="006A0148">
      <w:pPr>
        <w:rPr>
          <w:rFonts w:cs="Arial"/>
        </w:rPr>
      </w:pPr>
    </w:p>
    <w:p w14:paraId="06AE87ED" w14:textId="77777777" w:rsidR="006A0148" w:rsidRPr="008717F9" w:rsidRDefault="006A0148" w:rsidP="006A0148">
      <w:pPr>
        <w:pStyle w:val="Heading4"/>
        <w:rPr>
          <w:rFonts w:cs="Arial"/>
          <w:sz w:val="28"/>
          <w:szCs w:val="28"/>
        </w:rPr>
      </w:pPr>
      <w:r w:rsidRPr="008717F9">
        <w:rPr>
          <w:rFonts w:cs="Arial"/>
          <w:sz w:val="28"/>
          <w:szCs w:val="28"/>
        </w:rPr>
        <w:t>REFERRAL RESPONSE - HERITAGE</w:t>
      </w:r>
    </w:p>
    <w:p w14:paraId="70A13070" w14:textId="77777777" w:rsidR="006A0148" w:rsidRPr="008717F9" w:rsidRDefault="006A0148" w:rsidP="006A0148">
      <w:pPr>
        <w:rPr>
          <w:rFonts w:cs="Arial"/>
        </w:rPr>
      </w:pPr>
    </w:p>
    <w:p w14:paraId="72CC325E" w14:textId="77777777" w:rsidR="006A0148" w:rsidRPr="008717F9" w:rsidRDefault="006A0148" w:rsidP="006A0148">
      <w:pPr>
        <w:rPr>
          <w:rFonts w:cs="Arial"/>
        </w:rPr>
      </w:pPr>
    </w:p>
    <w:tbl>
      <w:tblPr>
        <w:tblW w:w="0" w:type="auto"/>
        <w:tblLayout w:type="fixed"/>
        <w:tblLook w:val="0000" w:firstRow="0" w:lastRow="0" w:firstColumn="0" w:lastColumn="0" w:noHBand="0" w:noVBand="0"/>
      </w:tblPr>
      <w:tblGrid>
        <w:gridCol w:w="2235"/>
        <w:gridCol w:w="7007"/>
      </w:tblGrid>
      <w:tr w:rsidR="006A0148" w:rsidRPr="008717F9" w14:paraId="159C1649" w14:textId="77777777" w:rsidTr="003E0288">
        <w:tc>
          <w:tcPr>
            <w:tcW w:w="2235" w:type="dxa"/>
          </w:tcPr>
          <w:p w14:paraId="1EB53FC1" w14:textId="77777777" w:rsidR="006A0148" w:rsidRPr="008717F9" w:rsidRDefault="006A0148" w:rsidP="003E0288">
            <w:pPr>
              <w:pStyle w:val="Heading3"/>
              <w:rPr>
                <w:rFonts w:cs="Arial"/>
              </w:rPr>
            </w:pPr>
            <w:r w:rsidRPr="008717F9">
              <w:rPr>
                <w:rFonts w:cs="Arial"/>
              </w:rPr>
              <w:t>FILE NO:</w:t>
            </w:r>
          </w:p>
        </w:tc>
        <w:tc>
          <w:tcPr>
            <w:tcW w:w="7007" w:type="dxa"/>
          </w:tcPr>
          <w:p w14:paraId="2A5B8F7A" w14:textId="77777777" w:rsidR="006A0148" w:rsidRPr="008717F9" w:rsidRDefault="00255EDE" w:rsidP="001B3B39">
            <w:pPr>
              <w:rPr>
                <w:rFonts w:cs="Arial"/>
              </w:rPr>
            </w:pPr>
            <w:r w:rsidRPr="008717F9">
              <w:rPr>
                <w:rFonts w:cs="Arial"/>
                <w:b/>
              </w:rPr>
              <w:t>Development Applications</w:t>
            </w:r>
            <w:r w:rsidR="001B3B39" w:rsidRPr="008717F9">
              <w:rPr>
                <w:rFonts w:cs="Arial"/>
                <w:b/>
              </w:rPr>
              <w:t>:</w:t>
            </w:r>
            <w:r w:rsidR="006A0148" w:rsidRPr="008717F9">
              <w:rPr>
                <w:rFonts w:cs="Arial"/>
              </w:rPr>
              <w:t xml:space="preserve"> </w:t>
            </w:r>
            <w:r w:rsidRPr="008717F9">
              <w:rPr>
                <w:rFonts w:cs="Arial"/>
              </w:rPr>
              <w:t>477</w:t>
            </w:r>
            <w:r w:rsidR="006A0148" w:rsidRPr="008717F9">
              <w:rPr>
                <w:rFonts w:cs="Arial"/>
              </w:rPr>
              <w:t>/</w:t>
            </w:r>
            <w:r w:rsidRPr="008717F9">
              <w:rPr>
                <w:rFonts w:cs="Arial"/>
              </w:rPr>
              <w:t>2019</w:t>
            </w:r>
            <w:r w:rsidR="006A0148" w:rsidRPr="008717F9">
              <w:rPr>
                <w:rFonts w:cs="Arial"/>
              </w:rPr>
              <w:t>/</w:t>
            </w:r>
            <w:r w:rsidRPr="008717F9">
              <w:rPr>
                <w:rFonts w:cs="Arial"/>
              </w:rPr>
              <w:t>2</w:t>
            </w:r>
          </w:p>
        </w:tc>
      </w:tr>
      <w:tr w:rsidR="006A0148" w:rsidRPr="008717F9" w14:paraId="41056071" w14:textId="77777777" w:rsidTr="003E0288">
        <w:tc>
          <w:tcPr>
            <w:tcW w:w="2235" w:type="dxa"/>
          </w:tcPr>
          <w:p w14:paraId="200FB5A1" w14:textId="77777777" w:rsidR="006A0148" w:rsidRPr="008717F9" w:rsidRDefault="006A0148" w:rsidP="003E0288">
            <w:pPr>
              <w:pStyle w:val="Heading3"/>
              <w:rPr>
                <w:rFonts w:cs="Arial"/>
              </w:rPr>
            </w:pPr>
          </w:p>
        </w:tc>
        <w:tc>
          <w:tcPr>
            <w:tcW w:w="7007" w:type="dxa"/>
          </w:tcPr>
          <w:p w14:paraId="15B7A36E" w14:textId="77777777" w:rsidR="006A0148" w:rsidRPr="008717F9" w:rsidRDefault="006A0148" w:rsidP="003E0288">
            <w:pPr>
              <w:rPr>
                <w:rFonts w:cs="Arial"/>
              </w:rPr>
            </w:pPr>
          </w:p>
        </w:tc>
      </w:tr>
      <w:tr w:rsidR="006A0148" w:rsidRPr="008717F9" w14:paraId="79C6AB90" w14:textId="77777777" w:rsidTr="003E0288">
        <w:tc>
          <w:tcPr>
            <w:tcW w:w="2235" w:type="dxa"/>
          </w:tcPr>
          <w:p w14:paraId="0651B2B6" w14:textId="77777777" w:rsidR="006A0148" w:rsidRPr="008717F9" w:rsidRDefault="006A0148" w:rsidP="003E0288">
            <w:pPr>
              <w:pStyle w:val="Heading3"/>
              <w:rPr>
                <w:rFonts w:cs="Arial"/>
              </w:rPr>
            </w:pPr>
            <w:r w:rsidRPr="008717F9">
              <w:rPr>
                <w:rFonts w:cs="Arial"/>
              </w:rPr>
              <w:t>ADDRESS:</w:t>
            </w:r>
          </w:p>
        </w:tc>
        <w:tc>
          <w:tcPr>
            <w:tcW w:w="7007" w:type="dxa"/>
          </w:tcPr>
          <w:p w14:paraId="07419390" w14:textId="77777777" w:rsidR="006A0148" w:rsidRPr="008717F9" w:rsidRDefault="00255EDE" w:rsidP="003E0288">
            <w:pPr>
              <w:rPr>
                <w:rFonts w:cs="Arial"/>
              </w:rPr>
            </w:pPr>
            <w:r w:rsidRPr="008717F9">
              <w:rPr>
                <w:rFonts w:cs="Arial"/>
              </w:rPr>
              <w:t>30 Alma Street PADDINGTON 2021</w:t>
            </w:r>
          </w:p>
        </w:tc>
      </w:tr>
      <w:tr w:rsidR="006A0148" w:rsidRPr="008717F9" w14:paraId="6A4BDCB2" w14:textId="77777777" w:rsidTr="003E0288">
        <w:tc>
          <w:tcPr>
            <w:tcW w:w="2235" w:type="dxa"/>
          </w:tcPr>
          <w:p w14:paraId="55B0B29D" w14:textId="77777777" w:rsidR="006A0148" w:rsidRPr="008717F9" w:rsidRDefault="006A0148" w:rsidP="003E0288">
            <w:pPr>
              <w:pStyle w:val="Heading3"/>
              <w:rPr>
                <w:rFonts w:cs="Arial"/>
              </w:rPr>
            </w:pPr>
          </w:p>
        </w:tc>
        <w:tc>
          <w:tcPr>
            <w:tcW w:w="7007" w:type="dxa"/>
          </w:tcPr>
          <w:p w14:paraId="76C12240" w14:textId="77777777" w:rsidR="006A0148" w:rsidRPr="008717F9" w:rsidRDefault="006A0148" w:rsidP="003E0288">
            <w:pPr>
              <w:rPr>
                <w:rFonts w:cs="Arial"/>
              </w:rPr>
            </w:pPr>
          </w:p>
        </w:tc>
      </w:tr>
      <w:tr w:rsidR="006A0148" w:rsidRPr="008717F9" w14:paraId="7BE19EA1" w14:textId="77777777" w:rsidTr="003E0288">
        <w:tc>
          <w:tcPr>
            <w:tcW w:w="2235" w:type="dxa"/>
          </w:tcPr>
          <w:p w14:paraId="7B5E84C8" w14:textId="77777777" w:rsidR="006A0148" w:rsidRPr="008717F9" w:rsidRDefault="006A0148" w:rsidP="003E0288">
            <w:pPr>
              <w:pStyle w:val="Heading3"/>
              <w:rPr>
                <w:rFonts w:cs="Arial"/>
              </w:rPr>
            </w:pPr>
            <w:r w:rsidRPr="008717F9">
              <w:rPr>
                <w:rFonts w:cs="Arial"/>
              </w:rPr>
              <w:t>PROPOSAL:</w:t>
            </w:r>
          </w:p>
        </w:tc>
        <w:tc>
          <w:tcPr>
            <w:tcW w:w="7007" w:type="dxa"/>
          </w:tcPr>
          <w:p w14:paraId="7418F0FA" w14:textId="77777777" w:rsidR="006A0148" w:rsidRPr="008717F9" w:rsidRDefault="00255EDE" w:rsidP="003E0288">
            <w:pPr>
              <w:rPr>
                <w:rFonts w:cs="Arial"/>
              </w:rPr>
            </w:pPr>
            <w:r w:rsidRPr="008717F9">
              <w:rPr>
                <w:rFonts w:cs="Arial"/>
              </w:rPr>
              <w:t>Modifications to the approved scheme</w:t>
            </w:r>
          </w:p>
        </w:tc>
      </w:tr>
      <w:tr w:rsidR="006A0148" w:rsidRPr="008717F9" w14:paraId="7AEA61C4" w14:textId="77777777" w:rsidTr="003E0288">
        <w:tc>
          <w:tcPr>
            <w:tcW w:w="2235" w:type="dxa"/>
          </w:tcPr>
          <w:p w14:paraId="198F716A" w14:textId="77777777" w:rsidR="006A0148" w:rsidRPr="008717F9" w:rsidRDefault="006A0148" w:rsidP="003E0288">
            <w:pPr>
              <w:pStyle w:val="Heading3"/>
              <w:rPr>
                <w:rFonts w:cs="Arial"/>
              </w:rPr>
            </w:pPr>
          </w:p>
        </w:tc>
        <w:tc>
          <w:tcPr>
            <w:tcW w:w="7007" w:type="dxa"/>
          </w:tcPr>
          <w:p w14:paraId="2EFEAAC7" w14:textId="77777777" w:rsidR="006A0148" w:rsidRPr="008717F9" w:rsidRDefault="006A0148" w:rsidP="003E0288">
            <w:pPr>
              <w:rPr>
                <w:rFonts w:cs="Arial"/>
              </w:rPr>
            </w:pPr>
          </w:p>
        </w:tc>
      </w:tr>
      <w:tr w:rsidR="006A0148" w:rsidRPr="008717F9" w14:paraId="20A520AE" w14:textId="77777777" w:rsidTr="003E0288">
        <w:tc>
          <w:tcPr>
            <w:tcW w:w="2235" w:type="dxa"/>
          </w:tcPr>
          <w:p w14:paraId="0CB5955E" w14:textId="77777777" w:rsidR="006A0148" w:rsidRPr="008717F9" w:rsidRDefault="006A0148" w:rsidP="003E0288">
            <w:pPr>
              <w:pStyle w:val="Heading3"/>
              <w:rPr>
                <w:rFonts w:cs="Arial"/>
              </w:rPr>
            </w:pPr>
            <w:r w:rsidRPr="008717F9">
              <w:rPr>
                <w:rFonts w:cs="Arial"/>
              </w:rPr>
              <w:t>FROM:</w:t>
            </w:r>
          </w:p>
        </w:tc>
        <w:sdt>
          <w:sdtPr>
            <w:rPr>
              <w:rFonts w:cs="Arial"/>
            </w:rPr>
            <w:alias w:val="Authors Name"/>
            <w:tag w:val="Authors Name"/>
            <w:id w:val="640005670"/>
            <w:placeholder>
              <w:docPart w:val="BF36298832EE4D7E9D7C32FA85637EEF"/>
            </w:placeholder>
            <w:dropDownList>
              <w:listItem w:value="Choose an item."/>
              <w:listItem w:displayText="Shona Lindsay " w:value="Shona Lindsay "/>
              <w:listItem w:displayText="Sagar Chauhan" w:value="Sagar Chauhan"/>
              <w:listItem w:displayText="Kristy Wellfare " w:value="Kristy Wellfare "/>
              <w:listItem w:displayText="Vanessa Wood" w:value="Vanessa Wood"/>
              <w:listItem w:displayText="Ryan Tristan" w:value="Ryan Tristan"/>
              <w:listItem w:displayText="Eleanor Banaag" w:value="Eleanor Banaag"/>
              <w:listItem w:displayText="Nastaran Forouzesh" w:value="Nastaran Forouzesh"/>
            </w:dropDownList>
          </w:sdtPr>
          <w:sdtEndPr/>
          <w:sdtContent>
            <w:tc>
              <w:tcPr>
                <w:tcW w:w="7007" w:type="dxa"/>
              </w:tcPr>
              <w:p w14:paraId="2D2FDFB0" w14:textId="77777777" w:rsidR="006A0148" w:rsidRPr="008717F9" w:rsidRDefault="004A6F97" w:rsidP="003E0288">
                <w:pPr>
                  <w:rPr>
                    <w:rFonts w:cs="Arial"/>
                  </w:rPr>
                </w:pPr>
                <w:r w:rsidRPr="008717F9">
                  <w:rPr>
                    <w:rFonts w:cs="Arial"/>
                  </w:rPr>
                  <w:t>Nastaran Forouzesh</w:t>
                </w:r>
              </w:p>
            </w:tc>
          </w:sdtContent>
        </w:sdt>
      </w:tr>
      <w:tr w:rsidR="006A0148" w:rsidRPr="008717F9" w14:paraId="281E679A" w14:textId="77777777" w:rsidTr="003E0288">
        <w:tc>
          <w:tcPr>
            <w:tcW w:w="2235" w:type="dxa"/>
          </w:tcPr>
          <w:p w14:paraId="79E38075" w14:textId="77777777" w:rsidR="006A0148" w:rsidRPr="008717F9" w:rsidRDefault="006A0148" w:rsidP="003E0288">
            <w:pPr>
              <w:pStyle w:val="Heading3"/>
              <w:rPr>
                <w:rFonts w:cs="Arial"/>
              </w:rPr>
            </w:pPr>
          </w:p>
        </w:tc>
        <w:tc>
          <w:tcPr>
            <w:tcW w:w="7007" w:type="dxa"/>
          </w:tcPr>
          <w:p w14:paraId="27C41320" w14:textId="77777777" w:rsidR="006A0148" w:rsidRPr="008717F9" w:rsidRDefault="006A0148" w:rsidP="003E0288">
            <w:pPr>
              <w:rPr>
                <w:rFonts w:cs="Arial"/>
              </w:rPr>
            </w:pPr>
          </w:p>
        </w:tc>
      </w:tr>
      <w:tr w:rsidR="006A0148" w:rsidRPr="008717F9" w14:paraId="7FEDCE29" w14:textId="77777777" w:rsidTr="003E0288">
        <w:tc>
          <w:tcPr>
            <w:tcW w:w="2235" w:type="dxa"/>
          </w:tcPr>
          <w:p w14:paraId="31794288" w14:textId="77777777" w:rsidR="006A0148" w:rsidRPr="008717F9" w:rsidRDefault="006A0148" w:rsidP="003E0288">
            <w:pPr>
              <w:pStyle w:val="Heading3"/>
              <w:rPr>
                <w:rFonts w:cs="Arial"/>
              </w:rPr>
            </w:pPr>
            <w:r w:rsidRPr="008717F9">
              <w:rPr>
                <w:rFonts w:cs="Arial"/>
              </w:rPr>
              <w:t>TO:</w:t>
            </w:r>
          </w:p>
        </w:tc>
        <w:tc>
          <w:tcPr>
            <w:tcW w:w="7007" w:type="dxa"/>
          </w:tcPr>
          <w:p w14:paraId="13FA2F1B" w14:textId="77777777" w:rsidR="006A0148" w:rsidRPr="008717F9" w:rsidRDefault="00255EDE" w:rsidP="003E0288">
            <w:pPr>
              <w:rPr>
                <w:rFonts w:cs="Arial"/>
              </w:rPr>
            </w:pPr>
            <w:r w:rsidRPr="008717F9">
              <w:rPr>
                <w:rFonts w:cs="Arial"/>
              </w:rPr>
              <w:t>Mr V Aleidzans</w:t>
            </w:r>
          </w:p>
        </w:tc>
      </w:tr>
    </w:tbl>
    <w:p w14:paraId="610AF34D" w14:textId="77777777" w:rsidR="00356B33" w:rsidRPr="008717F9" w:rsidRDefault="00356B33" w:rsidP="007E6FAE">
      <w:pPr>
        <w:pBdr>
          <w:top w:val="single" w:sz="4" w:space="1" w:color="auto"/>
        </w:pBdr>
        <w:rPr>
          <w:rFonts w:cs="Arial"/>
          <w:b/>
        </w:rPr>
      </w:pPr>
    </w:p>
    <w:p w14:paraId="7C24CD46" w14:textId="77777777" w:rsidR="00356B33" w:rsidRPr="008717F9" w:rsidRDefault="00356B33" w:rsidP="007E6FAE">
      <w:pPr>
        <w:pBdr>
          <w:top w:val="single" w:sz="4" w:space="1" w:color="auto"/>
        </w:pBdr>
        <w:rPr>
          <w:rFonts w:cs="Arial"/>
          <w:b/>
        </w:rPr>
      </w:pPr>
    </w:p>
    <w:p w14:paraId="2AE403BF" w14:textId="77777777" w:rsidR="007E6FAE" w:rsidRPr="008717F9" w:rsidRDefault="007E6FAE" w:rsidP="00401641">
      <w:pPr>
        <w:pStyle w:val="ListParagraph"/>
        <w:numPr>
          <w:ilvl w:val="0"/>
          <w:numId w:val="7"/>
        </w:numPr>
        <w:pBdr>
          <w:top w:val="single" w:sz="4" w:space="1" w:color="auto"/>
        </w:pBdr>
        <w:rPr>
          <w:rFonts w:cs="Arial"/>
          <w:b/>
        </w:rPr>
      </w:pPr>
      <w:r w:rsidRPr="008717F9">
        <w:rPr>
          <w:rFonts w:cs="Arial"/>
          <w:b/>
        </w:rPr>
        <w:t>DOCUMENTATION</w:t>
      </w:r>
    </w:p>
    <w:p w14:paraId="0870800C" w14:textId="77777777" w:rsidR="007E6FAE" w:rsidRPr="00613708" w:rsidRDefault="007E6FAE" w:rsidP="007E6FAE">
      <w:pPr>
        <w:rPr>
          <w:rFonts w:cs="Arial"/>
        </w:rPr>
      </w:pPr>
      <w:r w:rsidRPr="008717F9">
        <w:rPr>
          <w:rFonts w:cs="Arial"/>
        </w:rPr>
        <w:t xml:space="preserve">The following documentation </w:t>
      </w:r>
      <w:r w:rsidRPr="00613708">
        <w:rPr>
          <w:rFonts w:cs="Arial"/>
        </w:rPr>
        <w:t>provided by the applicant has been examined for this referral response:</w:t>
      </w:r>
    </w:p>
    <w:p w14:paraId="5EECEEAD" w14:textId="002AC1CD" w:rsidR="007E6FAE" w:rsidRPr="00613708" w:rsidRDefault="00B34355" w:rsidP="00401641">
      <w:pPr>
        <w:pStyle w:val="ListParagraph"/>
        <w:numPr>
          <w:ilvl w:val="0"/>
          <w:numId w:val="6"/>
        </w:numPr>
        <w:tabs>
          <w:tab w:val="left" w:pos="567"/>
        </w:tabs>
        <w:autoSpaceDE w:val="0"/>
        <w:autoSpaceDN w:val="0"/>
        <w:adjustRightInd w:val="0"/>
        <w:spacing w:line="240" w:lineRule="atLeast"/>
        <w:ind w:hanging="720"/>
        <w:rPr>
          <w:rFonts w:cs="Arial"/>
          <w:color w:val="000000"/>
          <w:szCs w:val="24"/>
          <w:lang w:val="en-US"/>
        </w:rPr>
      </w:pPr>
      <w:r w:rsidRPr="00613708">
        <w:rPr>
          <w:rFonts w:cs="Arial"/>
          <w:color w:val="000000"/>
          <w:szCs w:val="24"/>
          <w:lang w:val="en-US"/>
        </w:rPr>
        <w:t xml:space="preserve">Drawing set by Cottee Parker Architects, dated </w:t>
      </w:r>
      <w:r w:rsidR="00613708" w:rsidRPr="00613708">
        <w:rPr>
          <w:rFonts w:cs="Arial"/>
          <w:color w:val="000000"/>
          <w:szCs w:val="24"/>
          <w:lang w:val="en-US"/>
        </w:rPr>
        <w:t>9 June 2023, Revision 02</w:t>
      </w:r>
      <w:r w:rsidR="007E6FAE" w:rsidRPr="00613708">
        <w:rPr>
          <w:rFonts w:cs="Arial"/>
          <w:color w:val="000000"/>
          <w:szCs w:val="24"/>
          <w:lang w:val="en-US"/>
        </w:rPr>
        <w:t xml:space="preserve"> </w:t>
      </w:r>
    </w:p>
    <w:p w14:paraId="428D4408" w14:textId="78C26118" w:rsidR="007E6FAE" w:rsidRPr="00613708" w:rsidRDefault="00B34355" w:rsidP="00401641">
      <w:pPr>
        <w:pStyle w:val="ListParagraph"/>
        <w:numPr>
          <w:ilvl w:val="0"/>
          <w:numId w:val="6"/>
        </w:numPr>
        <w:tabs>
          <w:tab w:val="left" w:pos="567"/>
        </w:tabs>
        <w:autoSpaceDE w:val="0"/>
        <w:autoSpaceDN w:val="0"/>
        <w:adjustRightInd w:val="0"/>
        <w:spacing w:line="240" w:lineRule="atLeast"/>
        <w:ind w:hanging="720"/>
        <w:rPr>
          <w:rFonts w:cs="Arial"/>
          <w:color w:val="000000"/>
          <w:szCs w:val="24"/>
          <w:lang w:val="en-US"/>
        </w:rPr>
      </w:pPr>
      <w:r w:rsidRPr="00613708">
        <w:rPr>
          <w:rFonts w:cs="Arial"/>
          <w:color w:val="000000"/>
          <w:szCs w:val="24"/>
          <w:lang w:val="en-US"/>
        </w:rPr>
        <w:t>Heritage Impact Statement by Urbis, dated 6 November 2023</w:t>
      </w:r>
    </w:p>
    <w:p w14:paraId="4ACBAC59" w14:textId="74B1982F" w:rsidR="007E6FAE" w:rsidRPr="00613708" w:rsidRDefault="007E6FAE" w:rsidP="00401641">
      <w:pPr>
        <w:pStyle w:val="ListParagraph"/>
        <w:numPr>
          <w:ilvl w:val="0"/>
          <w:numId w:val="6"/>
        </w:numPr>
        <w:tabs>
          <w:tab w:val="left" w:pos="567"/>
        </w:tabs>
        <w:autoSpaceDE w:val="0"/>
        <w:autoSpaceDN w:val="0"/>
        <w:adjustRightInd w:val="0"/>
        <w:spacing w:line="240" w:lineRule="atLeast"/>
        <w:ind w:hanging="720"/>
        <w:rPr>
          <w:rFonts w:cs="Arial"/>
          <w:color w:val="000000"/>
          <w:szCs w:val="24"/>
          <w:lang w:val="en-US"/>
        </w:rPr>
      </w:pPr>
      <w:r w:rsidRPr="00613708">
        <w:rPr>
          <w:rFonts w:cs="Arial"/>
          <w:color w:val="000000"/>
          <w:szCs w:val="24"/>
          <w:lang w:val="en-US"/>
        </w:rPr>
        <w:t>S</w:t>
      </w:r>
      <w:r w:rsidR="00613708" w:rsidRPr="00613708">
        <w:rPr>
          <w:rFonts w:cs="Arial"/>
          <w:color w:val="000000"/>
          <w:szCs w:val="24"/>
          <w:lang w:val="en-US"/>
        </w:rPr>
        <w:t xml:space="preserve">ection 4.56 Planning Statement by Sutherland &amp; Associates Planning, dated August 2023 </w:t>
      </w:r>
    </w:p>
    <w:p w14:paraId="029F9EEA" w14:textId="4A5C3808" w:rsidR="007E6FAE" w:rsidRPr="00B34355" w:rsidRDefault="00B34355" w:rsidP="00401641">
      <w:pPr>
        <w:pStyle w:val="ListParagraph"/>
        <w:numPr>
          <w:ilvl w:val="0"/>
          <w:numId w:val="6"/>
        </w:numPr>
        <w:tabs>
          <w:tab w:val="left" w:pos="567"/>
        </w:tabs>
        <w:autoSpaceDE w:val="0"/>
        <w:autoSpaceDN w:val="0"/>
        <w:adjustRightInd w:val="0"/>
        <w:spacing w:line="240" w:lineRule="atLeast"/>
        <w:ind w:hanging="720"/>
        <w:rPr>
          <w:rFonts w:cs="Arial"/>
          <w:color w:val="000000"/>
          <w:szCs w:val="24"/>
          <w:lang w:val="en-US"/>
        </w:rPr>
      </w:pPr>
      <w:r w:rsidRPr="00B34355">
        <w:rPr>
          <w:rFonts w:cs="Arial"/>
          <w:color w:val="000000"/>
          <w:szCs w:val="24"/>
          <w:lang w:val="en-US"/>
        </w:rPr>
        <w:t>CGI renders of the approval DA2019/477/1 and architectural modelled renders in both approved and proposal colours</w:t>
      </w:r>
    </w:p>
    <w:p w14:paraId="524E9B92" w14:textId="77777777" w:rsidR="007E6FAE" w:rsidRPr="008717F9" w:rsidRDefault="007E6FAE" w:rsidP="007E6FAE">
      <w:pPr>
        <w:rPr>
          <w:rFonts w:cs="Arial"/>
        </w:rPr>
      </w:pPr>
    </w:p>
    <w:p w14:paraId="2CB3229B" w14:textId="77777777" w:rsidR="007E6FAE" w:rsidRPr="008717F9" w:rsidRDefault="007E6FAE" w:rsidP="00401641">
      <w:pPr>
        <w:pStyle w:val="ListParagraph"/>
        <w:numPr>
          <w:ilvl w:val="0"/>
          <w:numId w:val="7"/>
        </w:numPr>
        <w:rPr>
          <w:rFonts w:cs="Arial"/>
        </w:rPr>
      </w:pPr>
      <w:r w:rsidRPr="008717F9">
        <w:rPr>
          <w:rFonts w:cs="Arial"/>
          <w:b/>
        </w:rPr>
        <w:t>SITE INSPECTION / RESEARCH</w:t>
      </w:r>
    </w:p>
    <w:p w14:paraId="6F4363BB" w14:textId="77777777" w:rsidR="007E6FAE" w:rsidRPr="008717F9" w:rsidRDefault="007E6FAE" w:rsidP="007E6FAE">
      <w:pPr>
        <w:rPr>
          <w:rFonts w:cs="Arial"/>
        </w:rPr>
      </w:pPr>
      <w:r w:rsidRPr="008717F9">
        <w:rPr>
          <w:rFonts w:cs="Arial"/>
        </w:rPr>
        <w:t xml:space="preserve">The following research was undertaken in the preparation of this assessment: </w:t>
      </w:r>
    </w:p>
    <w:p w14:paraId="0755EB75" w14:textId="77777777" w:rsidR="007E6FAE" w:rsidRPr="008717F9" w:rsidRDefault="007E6FAE" w:rsidP="00401641">
      <w:pPr>
        <w:numPr>
          <w:ilvl w:val="0"/>
          <w:numId w:val="3"/>
        </w:numPr>
        <w:autoSpaceDE w:val="0"/>
        <w:autoSpaceDN w:val="0"/>
        <w:adjustRightInd w:val="0"/>
        <w:spacing w:line="240" w:lineRule="atLeast"/>
        <w:rPr>
          <w:rFonts w:cs="Arial"/>
          <w:color w:val="000000"/>
          <w:szCs w:val="24"/>
          <w:lang w:val="en-US"/>
        </w:rPr>
      </w:pPr>
      <w:r w:rsidRPr="008717F9">
        <w:rPr>
          <w:rFonts w:cs="Arial"/>
          <w:color w:val="000000"/>
          <w:szCs w:val="24"/>
          <w:lang w:val="en-US"/>
        </w:rPr>
        <w:t xml:space="preserve">The site was </w:t>
      </w:r>
      <w:r w:rsidR="004A6F97" w:rsidRPr="008717F9">
        <w:rPr>
          <w:rFonts w:cs="Arial"/>
          <w:color w:val="000000"/>
          <w:szCs w:val="24"/>
          <w:lang w:val="en-US"/>
        </w:rPr>
        <w:t xml:space="preserve">inspected on 10 November 2023, including </w:t>
      </w:r>
      <w:r w:rsidRPr="008717F9">
        <w:rPr>
          <w:rFonts w:cs="Arial"/>
          <w:color w:val="000000"/>
          <w:szCs w:val="24"/>
          <w:lang w:val="en-US"/>
        </w:rPr>
        <w:t xml:space="preserve">the general locality. </w:t>
      </w:r>
    </w:p>
    <w:p w14:paraId="063697FD" w14:textId="77777777" w:rsidR="007E6FAE" w:rsidRPr="008717F9" w:rsidRDefault="007E6FAE" w:rsidP="007E6FAE">
      <w:pPr>
        <w:autoSpaceDE w:val="0"/>
        <w:autoSpaceDN w:val="0"/>
        <w:adjustRightInd w:val="0"/>
        <w:spacing w:line="240" w:lineRule="atLeast"/>
        <w:rPr>
          <w:rFonts w:cs="Arial"/>
          <w:color w:val="000000"/>
          <w:szCs w:val="24"/>
          <w:lang w:val="en-US"/>
        </w:rPr>
      </w:pPr>
    </w:p>
    <w:p w14:paraId="77716607" w14:textId="77777777" w:rsidR="007E6FAE" w:rsidRPr="008717F9" w:rsidRDefault="007E6FAE" w:rsidP="007E6FAE">
      <w:pPr>
        <w:autoSpaceDE w:val="0"/>
        <w:autoSpaceDN w:val="0"/>
        <w:adjustRightInd w:val="0"/>
        <w:spacing w:line="240" w:lineRule="atLeast"/>
        <w:rPr>
          <w:rFonts w:cs="Arial"/>
          <w:color w:val="000000"/>
          <w:szCs w:val="24"/>
          <w:lang w:val="en-US"/>
        </w:rPr>
      </w:pPr>
      <w:r w:rsidRPr="008717F9">
        <w:rPr>
          <w:rFonts w:cs="Arial"/>
          <w:color w:val="000000"/>
          <w:szCs w:val="24"/>
          <w:lang w:val="en-US"/>
        </w:rPr>
        <w:t xml:space="preserve">Review of the following documents and photographic evidence: </w:t>
      </w:r>
    </w:p>
    <w:p w14:paraId="5463FF52" w14:textId="66CD463D" w:rsidR="007E6FAE" w:rsidRPr="008717F9" w:rsidRDefault="007E6FAE" w:rsidP="00401641">
      <w:pPr>
        <w:pStyle w:val="ListParagraph"/>
        <w:numPr>
          <w:ilvl w:val="0"/>
          <w:numId w:val="6"/>
        </w:numPr>
        <w:tabs>
          <w:tab w:val="left" w:pos="567"/>
        </w:tabs>
        <w:autoSpaceDE w:val="0"/>
        <w:autoSpaceDN w:val="0"/>
        <w:adjustRightInd w:val="0"/>
        <w:spacing w:line="240" w:lineRule="atLeast"/>
        <w:ind w:hanging="720"/>
        <w:rPr>
          <w:rFonts w:cs="Arial"/>
          <w:color w:val="000000"/>
          <w:szCs w:val="24"/>
          <w:lang w:val="en-US"/>
        </w:rPr>
      </w:pPr>
      <w:r w:rsidRPr="008717F9">
        <w:rPr>
          <w:rFonts w:cs="Arial"/>
          <w:color w:val="000000"/>
          <w:szCs w:val="24"/>
          <w:lang w:val="en-US"/>
        </w:rPr>
        <w:t>Council’s property system, to establish dates of earlier building and development applications for the subject and surrounding properties.</w:t>
      </w:r>
    </w:p>
    <w:p w14:paraId="1B46D278" w14:textId="2FA1992C" w:rsidR="007E6FAE" w:rsidRDefault="004A6F97" w:rsidP="00401641">
      <w:pPr>
        <w:pStyle w:val="ListParagraph"/>
        <w:numPr>
          <w:ilvl w:val="0"/>
          <w:numId w:val="6"/>
        </w:numPr>
        <w:tabs>
          <w:tab w:val="left" w:pos="567"/>
        </w:tabs>
        <w:autoSpaceDE w:val="0"/>
        <w:autoSpaceDN w:val="0"/>
        <w:adjustRightInd w:val="0"/>
        <w:spacing w:line="240" w:lineRule="atLeast"/>
        <w:ind w:hanging="720"/>
        <w:rPr>
          <w:rFonts w:cs="Arial"/>
          <w:color w:val="000000"/>
          <w:szCs w:val="24"/>
          <w:lang w:val="en-US"/>
        </w:rPr>
      </w:pPr>
      <w:r w:rsidRPr="008717F9">
        <w:rPr>
          <w:rFonts w:cs="Arial"/>
          <w:color w:val="000000"/>
          <w:szCs w:val="24"/>
          <w:lang w:val="en-US"/>
        </w:rPr>
        <w:t>P</w:t>
      </w:r>
      <w:r w:rsidR="007E6FAE" w:rsidRPr="008717F9">
        <w:rPr>
          <w:rFonts w:cs="Arial"/>
          <w:color w:val="000000"/>
          <w:szCs w:val="24"/>
          <w:lang w:val="en-US"/>
        </w:rPr>
        <w:t xml:space="preserve">revious </w:t>
      </w:r>
      <w:r w:rsidRPr="008717F9">
        <w:rPr>
          <w:rFonts w:cs="Arial"/>
          <w:color w:val="000000"/>
          <w:szCs w:val="24"/>
          <w:lang w:val="en-US"/>
        </w:rPr>
        <w:t>heritage referral response for DA2019/477/1 by Council’s Heritage Officer Flavia Scardamaglia dated 9 March 2020</w:t>
      </w:r>
      <w:r w:rsidR="007E6FAE" w:rsidRPr="008717F9">
        <w:rPr>
          <w:rFonts w:cs="Arial"/>
          <w:color w:val="000000"/>
          <w:szCs w:val="24"/>
          <w:lang w:val="en-US"/>
        </w:rPr>
        <w:t xml:space="preserve">. </w:t>
      </w:r>
    </w:p>
    <w:p w14:paraId="24DDFA0B" w14:textId="0CAB6998" w:rsidR="00B34355" w:rsidRDefault="00B34355" w:rsidP="00401641">
      <w:pPr>
        <w:pStyle w:val="ListParagraph"/>
        <w:numPr>
          <w:ilvl w:val="0"/>
          <w:numId w:val="6"/>
        </w:numPr>
        <w:tabs>
          <w:tab w:val="left" w:pos="567"/>
        </w:tabs>
        <w:autoSpaceDE w:val="0"/>
        <w:autoSpaceDN w:val="0"/>
        <w:adjustRightInd w:val="0"/>
        <w:spacing w:line="240" w:lineRule="atLeast"/>
        <w:ind w:hanging="720"/>
        <w:rPr>
          <w:rFonts w:cs="Arial"/>
          <w:color w:val="000000"/>
          <w:szCs w:val="24"/>
          <w:lang w:val="en-US"/>
        </w:rPr>
      </w:pPr>
      <w:r w:rsidRPr="00613708">
        <w:rPr>
          <w:rFonts w:cs="Arial"/>
          <w:color w:val="000000"/>
          <w:szCs w:val="24"/>
          <w:lang w:val="en-US"/>
        </w:rPr>
        <w:t>C</w:t>
      </w:r>
      <w:r w:rsidR="00613708" w:rsidRPr="00613708">
        <w:rPr>
          <w:rFonts w:cs="Arial"/>
          <w:color w:val="000000"/>
          <w:szCs w:val="24"/>
          <w:lang w:val="en-US"/>
        </w:rPr>
        <w:t>onservation Management Plan by Conybeare Morrison International</w:t>
      </w:r>
      <w:r w:rsidRPr="00613708">
        <w:rPr>
          <w:rFonts w:cs="Arial"/>
          <w:color w:val="000000"/>
          <w:szCs w:val="24"/>
          <w:lang w:val="en-US"/>
        </w:rPr>
        <w:t xml:space="preserve">, </w:t>
      </w:r>
      <w:r w:rsidR="00613708" w:rsidRPr="00613708">
        <w:rPr>
          <w:rFonts w:cs="Arial"/>
          <w:color w:val="000000"/>
          <w:szCs w:val="24"/>
          <w:lang w:val="en-US"/>
        </w:rPr>
        <w:t>dated April 2008</w:t>
      </w:r>
    </w:p>
    <w:p w14:paraId="26FE9BA6" w14:textId="44B896A6" w:rsidR="00613708" w:rsidRPr="00613708" w:rsidRDefault="00613708" w:rsidP="00401641">
      <w:pPr>
        <w:pStyle w:val="ListParagraph"/>
        <w:numPr>
          <w:ilvl w:val="0"/>
          <w:numId w:val="6"/>
        </w:numPr>
        <w:tabs>
          <w:tab w:val="left" w:pos="567"/>
        </w:tabs>
        <w:autoSpaceDE w:val="0"/>
        <w:autoSpaceDN w:val="0"/>
        <w:adjustRightInd w:val="0"/>
        <w:spacing w:line="240" w:lineRule="atLeast"/>
        <w:ind w:hanging="720"/>
        <w:rPr>
          <w:rFonts w:cs="Arial"/>
          <w:color w:val="000000"/>
          <w:szCs w:val="24"/>
          <w:lang w:val="en-US"/>
        </w:rPr>
      </w:pPr>
      <w:r>
        <w:rPr>
          <w:rFonts w:cs="Arial"/>
          <w:color w:val="000000"/>
          <w:szCs w:val="24"/>
          <w:lang w:val="en-US"/>
        </w:rPr>
        <w:t>Heritage Impact Statement</w:t>
      </w:r>
      <w:r w:rsidRPr="00613708">
        <w:rPr>
          <w:rFonts w:cs="Arial"/>
          <w:color w:val="000000"/>
          <w:szCs w:val="24"/>
          <w:lang w:val="en-US"/>
        </w:rPr>
        <w:t xml:space="preserve"> by </w:t>
      </w:r>
      <w:r>
        <w:rPr>
          <w:rFonts w:cs="Arial"/>
          <w:color w:val="000000"/>
          <w:szCs w:val="24"/>
          <w:lang w:val="en-US"/>
        </w:rPr>
        <w:t>Urbis for DA2019/477/1</w:t>
      </w:r>
      <w:r w:rsidRPr="00613708">
        <w:rPr>
          <w:rFonts w:cs="Arial"/>
          <w:color w:val="000000"/>
          <w:szCs w:val="24"/>
          <w:lang w:val="en-US"/>
        </w:rPr>
        <w:t xml:space="preserve">, dated </w:t>
      </w:r>
      <w:r>
        <w:rPr>
          <w:rFonts w:cs="Arial"/>
          <w:color w:val="000000"/>
          <w:szCs w:val="24"/>
          <w:lang w:val="en-US"/>
        </w:rPr>
        <w:t>19 August 2019</w:t>
      </w:r>
    </w:p>
    <w:p w14:paraId="07050BBB" w14:textId="3A4E7FC4" w:rsidR="007E6FAE" w:rsidRPr="008717F9" w:rsidRDefault="007E6FAE" w:rsidP="00401641">
      <w:pPr>
        <w:pStyle w:val="ListParagraph"/>
        <w:numPr>
          <w:ilvl w:val="0"/>
          <w:numId w:val="6"/>
        </w:numPr>
        <w:tabs>
          <w:tab w:val="left" w:pos="567"/>
        </w:tabs>
        <w:autoSpaceDE w:val="0"/>
        <w:autoSpaceDN w:val="0"/>
        <w:adjustRightInd w:val="0"/>
        <w:spacing w:line="240" w:lineRule="atLeast"/>
        <w:ind w:hanging="720"/>
        <w:rPr>
          <w:rFonts w:cs="Arial"/>
          <w:color w:val="000000"/>
          <w:szCs w:val="24"/>
          <w:lang w:val="en-US"/>
        </w:rPr>
      </w:pPr>
      <w:r w:rsidRPr="008717F9">
        <w:rPr>
          <w:rFonts w:cs="Arial"/>
          <w:color w:val="000000"/>
          <w:szCs w:val="24"/>
          <w:lang w:val="en-US"/>
        </w:rPr>
        <w:t>Council’s photography files relevant to the immediate area</w:t>
      </w:r>
    </w:p>
    <w:p w14:paraId="679FB902" w14:textId="67666630" w:rsidR="007E6FAE" w:rsidRPr="008717F9" w:rsidRDefault="007E6FAE" w:rsidP="00401641">
      <w:pPr>
        <w:pStyle w:val="ListParagraph"/>
        <w:numPr>
          <w:ilvl w:val="0"/>
          <w:numId w:val="6"/>
        </w:numPr>
        <w:tabs>
          <w:tab w:val="left" w:pos="567"/>
        </w:tabs>
        <w:autoSpaceDE w:val="0"/>
        <w:autoSpaceDN w:val="0"/>
        <w:adjustRightInd w:val="0"/>
        <w:spacing w:line="240" w:lineRule="atLeast"/>
        <w:ind w:hanging="720"/>
        <w:rPr>
          <w:rFonts w:cs="Arial"/>
          <w:color w:val="000000"/>
          <w:szCs w:val="24"/>
          <w:lang w:val="en-US"/>
        </w:rPr>
      </w:pPr>
      <w:r w:rsidRPr="008717F9">
        <w:rPr>
          <w:rFonts w:cs="Arial"/>
          <w:color w:val="000000"/>
          <w:szCs w:val="24"/>
          <w:lang w:val="en-US"/>
        </w:rPr>
        <w:t>Council’s heritage inventory sheets</w:t>
      </w:r>
    </w:p>
    <w:p w14:paraId="758964C7" w14:textId="0EA87A9F" w:rsidR="007E6FAE" w:rsidRPr="008717F9" w:rsidRDefault="007E6FAE" w:rsidP="00401641">
      <w:pPr>
        <w:pStyle w:val="ListParagraph"/>
        <w:numPr>
          <w:ilvl w:val="0"/>
          <w:numId w:val="6"/>
        </w:numPr>
        <w:tabs>
          <w:tab w:val="left" w:pos="567"/>
        </w:tabs>
        <w:autoSpaceDE w:val="0"/>
        <w:autoSpaceDN w:val="0"/>
        <w:adjustRightInd w:val="0"/>
        <w:spacing w:line="240" w:lineRule="atLeast"/>
        <w:ind w:hanging="720"/>
        <w:rPr>
          <w:rFonts w:cs="Arial"/>
          <w:color w:val="000000"/>
          <w:szCs w:val="24"/>
          <w:lang w:val="en-US"/>
        </w:rPr>
      </w:pPr>
      <w:r w:rsidRPr="008717F9">
        <w:rPr>
          <w:rFonts w:cs="Arial"/>
          <w:color w:val="000000"/>
          <w:szCs w:val="24"/>
          <w:lang w:val="en-US"/>
        </w:rPr>
        <w:t>Council’s aerial photography and mapping database</w:t>
      </w:r>
    </w:p>
    <w:p w14:paraId="32EC2B71" w14:textId="3AEBF6FB" w:rsidR="007E6FAE" w:rsidRPr="008717F9" w:rsidRDefault="007E6FAE" w:rsidP="00401641">
      <w:pPr>
        <w:pStyle w:val="ListParagraph"/>
        <w:numPr>
          <w:ilvl w:val="0"/>
          <w:numId w:val="6"/>
        </w:numPr>
        <w:tabs>
          <w:tab w:val="left" w:pos="567"/>
        </w:tabs>
        <w:autoSpaceDE w:val="0"/>
        <w:autoSpaceDN w:val="0"/>
        <w:adjustRightInd w:val="0"/>
        <w:spacing w:line="240" w:lineRule="atLeast"/>
        <w:ind w:hanging="720"/>
        <w:rPr>
          <w:rFonts w:cs="Arial"/>
          <w:color w:val="000000"/>
          <w:szCs w:val="24"/>
          <w:lang w:val="en-US"/>
        </w:rPr>
      </w:pPr>
      <w:r w:rsidRPr="008717F9">
        <w:rPr>
          <w:rFonts w:cs="Arial"/>
          <w:color w:val="000000"/>
          <w:szCs w:val="24"/>
          <w:lang w:val="en-US"/>
        </w:rPr>
        <w:t>Google Maps – street view</w:t>
      </w:r>
    </w:p>
    <w:p w14:paraId="294B5F5A" w14:textId="77777777" w:rsidR="007E6FAE" w:rsidRPr="008717F9" w:rsidRDefault="007E6FAE" w:rsidP="007E6FAE">
      <w:pPr>
        <w:ind w:left="567" w:hanging="567"/>
        <w:rPr>
          <w:rFonts w:cs="Arial"/>
        </w:rPr>
      </w:pPr>
    </w:p>
    <w:p w14:paraId="4B95B63E" w14:textId="77777777" w:rsidR="007E6FAE" w:rsidRPr="008717F9" w:rsidRDefault="007E6FAE" w:rsidP="00401641">
      <w:pPr>
        <w:pStyle w:val="ListParagraph"/>
        <w:numPr>
          <w:ilvl w:val="0"/>
          <w:numId w:val="7"/>
        </w:numPr>
        <w:rPr>
          <w:rFonts w:cs="Arial"/>
        </w:rPr>
      </w:pPr>
      <w:r w:rsidRPr="008717F9">
        <w:rPr>
          <w:rFonts w:cs="Arial"/>
          <w:b/>
        </w:rPr>
        <w:t>STATUTORY AND POLICY DOCUMENTS</w:t>
      </w:r>
    </w:p>
    <w:p w14:paraId="497D4B5B" w14:textId="77777777" w:rsidR="007E6FAE" w:rsidRPr="008717F9" w:rsidRDefault="007E6FAE" w:rsidP="007E6FAE">
      <w:pPr>
        <w:rPr>
          <w:rFonts w:cs="Arial"/>
        </w:rPr>
      </w:pPr>
      <w:r w:rsidRPr="008717F9">
        <w:rPr>
          <w:rFonts w:cs="Arial"/>
        </w:rPr>
        <w:t>The following statutory and policy documents are relevant to the application:</w:t>
      </w:r>
    </w:p>
    <w:p w14:paraId="66C0ABF0" w14:textId="77777777" w:rsidR="007E6FAE" w:rsidRPr="008717F9" w:rsidRDefault="007E6FAE" w:rsidP="00401641">
      <w:pPr>
        <w:numPr>
          <w:ilvl w:val="0"/>
          <w:numId w:val="1"/>
        </w:numPr>
        <w:rPr>
          <w:rFonts w:cs="Arial"/>
        </w:rPr>
      </w:pPr>
      <w:r w:rsidRPr="008717F9">
        <w:rPr>
          <w:rFonts w:cs="Arial"/>
        </w:rPr>
        <w:t xml:space="preserve">National Parks &amp; Wildlife Act 1974 </w:t>
      </w:r>
    </w:p>
    <w:p w14:paraId="0890F3C7" w14:textId="77777777" w:rsidR="007E6FAE" w:rsidRPr="008717F9" w:rsidRDefault="007E6FAE" w:rsidP="00401641">
      <w:pPr>
        <w:numPr>
          <w:ilvl w:val="0"/>
          <w:numId w:val="1"/>
        </w:numPr>
        <w:rPr>
          <w:rFonts w:cs="Arial"/>
        </w:rPr>
      </w:pPr>
      <w:r w:rsidRPr="008717F9">
        <w:rPr>
          <w:rFonts w:cs="Arial"/>
        </w:rPr>
        <w:t>Woollahra LEP 2014</w:t>
      </w:r>
    </w:p>
    <w:p w14:paraId="3BE4C7C0" w14:textId="56430583" w:rsidR="007E6FAE" w:rsidRDefault="007E6FAE" w:rsidP="00401641">
      <w:pPr>
        <w:numPr>
          <w:ilvl w:val="0"/>
          <w:numId w:val="1"/>
        </w:numPr>
        <w:rPr>
          <w:rFonts w:cs="Arial"/>
        </w:rPr>
      </w:pPr>
      <w:r w:rsidRPr="008717F9">
        <w:rPr>
          <w:rFonts w:cs="Arial"/>
        </w:rPr>
        <w:t>Woollahra DCP 2015</w:t>
      </w:r>
    </w:p>
    <w:p w14:paraId="64376467" w14:textId="34009692" w:rsidR="00E35E86" w:rsidRDefault="00E35E86" w:rsidP="00401641">
      <w:pPr>
        <w:numPr>
          <w:ilvl w:val="0"/>
          <w:numId w:val="1"/>
        </w:numPr>
        <w:rPr>
          <w:rFonts w:cs="Arial"/>
        </w:rPr>
      </w:pPr>
      <w:r>
        <w:rPr>
          <w:rFonts w:cs="Arial"/>
        </w:rPr>
        <w:t>Conservation Management Plan (CMP) by Conybeare Morrison, dated 2008</w:t>
      </w:r>
    </w:p>
    <w:p w14:paraId="52CFDBE7" w14:textId="77777777" w:rsidR="007E6FAE" w:rsidRPr="008717F9" w:rsidRDefault="007E6FAE" w:rsidP="007E6FAE">
      <w:pPr>
        <w:rPr>
          <w:rFonts w:cs="Arial"/>
        </w:rPr>
      </w:pPr>
    </w:p>
    <w:p w14:paraId="0B340DE1" w14:textId="77777777" w:rsidR="007E6FAE" w:rsidRPr="008717F9" w:rsidRDefault="007E6FAE" w:rsidP="00401641">
      <w:pPr>
        <w:pStyle w:val="ListParagraph"/>
        <w:numPr>
          <w:ilvl w:val="0"/>
          <w:numId w:val="7"/>
        </w:numPr>
        <w:rPr>
          <w:rFonts w:cs="Arial"/>
          <w:szCs w:val="24"/>
        </w:rPr>
      </w:pPr>
      <w:r w:rsidRPr="008717F9">
        <w:rPr>
          <w:rFonts w:cs="Arial"/>
          <w:b/>
        </w:rPr>
        <w:t>ASSESSMENT</w:t>
      </w:r>
      <w:r w:rsidRPr="008717F9">
        <w:rPr>
          <w:rFonts w:cs="Arial"/>
          <w:b/>
          <w:szCs w:val="24"/>
        </w:rPr>
        <w:t xml:space="preserve"> OF HERITAGE IMPACT</w:t>
      </w:r>
    </w:p>
    <w:p w14:paraId="670525DC" w14:textId="77777777" w:rsidR="007E6FAE" w:rsidRPr="008717F9" w:rsidRDefault="007E6FAE" w:rsidP="007E6FAE">
      <w:pPr>
        <w:rPr>
          <w:rFonts w:cs="Arial"/>
          <w:b/>
        </w:rPr>
      </w:pPr>
      <w:r w:rsidRPr="008717F9">
        <w:rPr>
          <w:rFonts w:cs="Arial"/>
          <w:b/>
        </w:rPr>
        <w:t>Compliance with the relevant legislative framework and planning controls</w:t>
      </w:r>
    </w:p>
    <w:p w14:paraId="4B8A60CF" w14:textId="77777777" w:rsidR="007E6FAE" w:rsidRPr="008717F9" w:rsidRDefault="007E6FAE" w:rsidP="007E6FAE">
      <w:pPr>
        <w:rPr>
          <w:rFonts w:cs="Arial"/>
          <w:u w:val="single"/>
        </w:rPr>
      </w:pPr>
    </w:p>
    <w:p w14:paraId="16B0B0A8" w14:textId="77777777" w:rsidR="007E6FAE" w:rsidRPr="008717F9" w:rsidRDefault="007E6FAE" w:rsidP="00401641">
      <w:pPr>
        <w:pStyle w:val="ListParagraph"/>
        <w:numPr>
          <w:ilvl w:val="0"/>
          <w:numId w:val="7"/>
        </w:numPr>
        <w:rPr>
          <w:rFonts w:cs="Arial"/>
        </w:rPr>
      </w:pPr>
      <w:r w:rsidRPr="008717F9">
        <w:rPr>
          <w:rFonts w:cs="Arial"/>
          <w:b/>
        </w:rPr>
        <w:t>SIGNIFICANCE OF SUBJECT PROPERTY/TO THE CONSERVATION AREA</w:t>
      </w:r>
    </w:p>
    <w:p w14:paraId="1375CD23" w14:textId="77777777" w:rsidR="007E6FAE" w:rsidRPr="008717F9" w:rsidRDefault="007E6FAE" w:rsidP="007E6FAE">
      <w:pPr>
        <w:rPr>
          <w:rFonts w:cs="Arial"/>
        </w:rPr>
      </w:pPr>
    </w:p>
    <w:tbl>
      <w:tblPr>
        <w:tblStyle w:val="TableGrid"/>
        <w:tblW w:w="0" w:type="auto"/>
        <w:tblInd w:w="108" w:type="dxa"/>
        <w:tblLook w:val="01E0" w:firstRow="1" w:lastRow="1" w:firstColumn="1" w:lastColumn="1" w:noHBand="0" w:noVBand="0"/>
      </w:tblPr>
      <w:tblGrid>
        <w:gridCol w:w="9746"/>
      </w:tblGrid>
      <w:tr w:rsidR="007E6FAE" w:rsidRPr="008717F9" w14:paraId="1382C03A" w14:textId="77777777" w:rsidTr="00124951">
        <w:tc>
          <w:tcPr>
            <w:tcW w:w="9746" w:type="dxa"/>
          </w:tcPr>
          <w:p w14:paraId="0D38BBA8" w14:textId="15EE9F81" w:rsidR="00374E3C" w:rsidRDefault="00A30DAB" w:rsidP="00A30DAB">
            <w:pPr>
              <w:autoSpaceDE w:val="0"/>
              <w:autoSpaceDN w:val="0"/>
              <w:adjustRightInd w:val="0"/>
              <w:spacing w:line="240" w:lineRule="atLeast"/>
              <w:rPr>
                <w:rFonts w:cs="Arial"/>
                <w:color w:val="000000"/>
                <w:szCs w:val="24"/>
                <w:lang w:val="en-US"/>
              </w:rPr>
            </w:pPr>
            <w:r w:rsidRPr="00C87618">
              <w:rPr>
                <w:rFonts w:cs="Arial"/>
                <w:color w:val="000000"/>
                <w:szCs w:val="24"/>
                <w:lang w:val="en-US"/>
              </w:rPr>
              <w:t xml:space="preserve">The subject </w:t>
            </w:r>
            <w:r w:rsidR="00AA49D7" w:rsidRPr="00C87618">
              <w:rPr>
                <w:rFonts w:cs="Arial"/>
                <w:color w:val="000000"/>
                <w:szCs w:val="24"/>
                <w:lang w:val="en-US"/>
              </w:rPr>
              <w:t xml:space="preserve">property is located at 30 Alma Street, Paddington, </w:t>
            </w:r>
            <w:r w:rsidR="00C87618">
              <w:rPr>
                <w:rFonts w:cs="Arial"/>
                <w:color w:val="000000"/>
                <w:szCs w:val="24"/>
                <w:lang w:val="en-US"/>
              </w:rPr>
              <w:t>located within the Paddington H</w:t>
            </w:r>
            <w:r w:rsidR="00E35E86">
              <w:rPr>
                <w:rFonts w:cs="Arial"/>
                <w:color w:val="000000"/>
                <w:szCs w:val="24"/>
                <w:lang w:val="en-US"/>
              </w:rPr>
              <w:t xml:space="preserve">eritage </w:t>
            </w:r>
            <w:r w:rsidR="00C87618">
              <w:rPr>
                <w:rFonts w:cs="Arial"/>
                <w:color w:val="000000"/>
                <w:szCs w:val="24"/>
                <w:lang w:val="en-US"/>
              </w:rPr>
              <w:t>C</w:t>
            </w:r>
            <w:r w:rsidR="00E35E86">
              <w:rPr>
                <w:rFonts w:cs="Arial"/>
                <w:color w:val="000000"/>
                <w:szCs w:val="24"/>
                <w:lang w:val="en-US"/>
              </w:rPr>
              <w:t xml:space="preserve">onservation </w:t>
            </w:r>
            <w:r w:rsidR="00C87618">
              <w:rPr>
                <w:rFonts w:cs="Arial"/>
                <w:color w:val="000000"/>
                <w:szCs w:val="24"/>
                <w:lang w:val="en-US"/>
              </w:rPr>
              <w:t>A</w:t>
            </w:r>
            <w:r w:rsidR="00E35E86">
              <w:rPr>
                <w:rFonts w:cs="Arial"/>
                <w:color w:val="000000"/>
                <w:szCs w:val="24"/>
                <w:lang w:val="en-US"/>
              </w:rPr>
              <w:t>rea</w:t>
            </w:r>
            <w:r w:rsidR="00C87618">
              <w:rPr>
                <w:rFonts w:cs="Arial"/>
                <w:color w:val="000000"/>
                <w:szCs w:val="24"/>
                <w:lang w:val="en-US"/>
              </w:rPr>
              <w:t xml:space="preserve">. </w:t>
            </w:r>
            <w:r w:rsidR="00124951">
              <w:rPr>
                <w:rFonts w:cs="Arial"/>
                <w:color w:val="000000"/>
                <w:szCs w:val="24"/>
                <w:lang w:val="en-US"/>
              </w:rPr>
              <w:t xml:space="preserve">It previously housed the White City Tennis Centre. </w:t>
            </w:r>
            <w:r w:rsidR="00374E3C">
              <w:rPr>
                <w:rFonts w:cs="Arial"/>
                <w:color w:val="000000"/>
                <w:szCs w:val="24"/>
                <w:lang w:val="en-US"/>
              </w:rPr>
              <w:t>In 2015, DA2015/438 was approved by the Joint Regional Planning Panel for Stage 1 concept proposal for only the building envelopes and indicative use of the site as a multi-purpose sports centre and registered club facilities.</w:t>
            </w:r>
            <w:r w:rsidR="00374E3C">
              <w:rPr>
                <w:rFonts w:cs="Arial"/>
                <w:color w:val="000000"/>
                <w:szCs w:val="24"/>
                <w:lang w:val="en-US"/>
              </w:rPr>
              <w:t xml:space="preserve"> A S4.55 Application was subsequently approved. In July 2021, DA2019/477/1 was approved for the first stage of the development. These proposed works are currently underway.</w:t>
            </w:r>
          </w:p>
          <w:p w14:paraId="50E29FDD" w14:textId="220306C5" w:rsidR="00A30DAB" w:rsidRPr="008717F9" w:rsidRDefault="00A30DAB" w:rsidP="00A30DAB">
            <w:pPr>
              <w:autoSpaceDE w:val="0"/>
              <w:autoSpaceDN w:val="0"/>
              <w:adjustRightInd w:val="0"/>
              <w:spacing w:line="240" w:lineRule="atLeast"/>
              <w:rPr>
                <w:rFonts w:cs="Arial"/>
                <w:color w:val="000000"/>
                <w:szCs w:val="24"/>
                <w:lang w:val="en-US"/>
              </w:rPr>
            </w:pPr>
          </w:p>
          <w:p w14:paraId="211BC504" w14:textId="77777777" w:rsidR="003313F2" w:rsidRPr="008717F9" w:rsidRDefault="003313F2" w:rsidP="003313F2">
            <w:pPr>
              <w:rPr>
                <w:rFonts w:cs="Arial"/>
              </w:rPr>
            </w:pPr>
            <w:r w:rsidRPr="008717F9">
              <w:rPr>
                <w:rFonts w:cs="Arial"/>
              </w:rPr>
              <w:t>The following Statements of Significance for the White City Tennis Centre and Centre Courts have been extracted from pages 24 and 28  of the Heritage Impact Statement by Urbis dated December 2018:</w:t>
            </w:r>
          </w:p>
          <w:p w14:paraId="4161FB3A" w14:textId="77777777" w:rsidR="003313F2" w:rsidRPr="008717F9" w:rsidRDefault="003313F2" w:rsidP="004A6F97">
            <w:pPr>
              <w:pStyle w:val="Default"/>
              <w:rPr>
                <w:i/>
                <w:color w:val="auto"/>
                <w:szCs w:val="20"/>
                <w:lang w:eastAsia="en-US"/>
              </w:rPr>
            </w:pPr>
          </w:p>
          <w:p w14:paraId="66EFB290" w14:textId="77777777" w:rsidR="004A6F97" w:rsidRPr="00E35E86" w:rsidRDefault="004A6F97" w:rsidP="004A6F97">
            <w:pPr>
              <w:pStyle w:val="Default"/>
              <w:rPr>
                <w:i/>
                <w:color w:val="auto"/>
                <w:sz w:val="22"/>
                <w:szCs w:val="22"/>
                <w:lang w:eastAsia="en-US"/>
              </w:rPr>
            </w:pPr>
            <w:r w:rsidRPr="00E35E86">
              <w:rPr>
                <w:i/>
                <w:color w:val="auto"/>
                <w:sz w:val="22"/>
                <w:szCs w:val="22"/>
                <w:lang w:eastAsia="en-US"/>
              </w:rPr>
              <w:t xml:space="preserve">White City Tennis Centre is considered to possess cultural and heritage significance in view of their ability to demonstrate the following matters: </w:t>
            </w:r>
          </w:p>
          <w:p w14:paraId="14A23DFE" w14:textId="77777777" w:rsidR="004A6F97" w:rsidRPr="00E35E86" w:rsidRDefault="004A6F97" w:rsidP="004A6F97">
            <w:pPr>
              <w:pStyle w:val="Default"/>
              <w:rPr>
                <w:i/>
                <w:color w:val="auto"/>
                <w:sz w:val="22"/>
                <w:szCs w:val="22"/>
                <w:lang w:eastAsia="en-US"/>
              </w:rPr>
            </w:pPr>
          </w:p>
          <w:p w14:paraId="2F310088" w14:textId="77777777" w:rsidR="004A6F97" w:rsidRPr="00E35E86" w:rsidRDefault="004A6F97" w:rsidP="004A6F97">
            <w:pPr>
              <w:pStyle w:val="Default"/>
              <w:rPr>
                <w:b/>
                <w:color w:val="auto"/>
                <w:sz w:val="22"/>
                <w:szCs w:val="22"/>
                <w:lang w:eastAsia="en-US"/>
              </w:rPr>
            </w:pPr>
            <w:r w:rsidRPr="00E35E86">
              <w:rPr>
                <w:b/>
                <w:color w:val="auto"/>
                <w:sz w:val="22"/>
                <w:szCs w:val="22"/>
                <w:lang w:eastAsia="en-US"/>
              </w:rPr>
              <w:t>White City Tennis Centre</w:t>
            </w:r>
          </w:p>
          <w:p w14:paraId="05EE3149" w14:textId="77777777" w:rsidR="004A6F97" w:rsidRPr="00E35E86" w:rsidRDefault="004A6F97" w:rsidP="004A6F97">
            <w:pPr>
              <w:pStyle w:val="Default"/>
              <w:rPr>
                <w:i/>
                <w:color w:val="auto"/>
                <w:sz w:val="22"/>
                <w:szCs w:val="22"/>
                <w:lang w:eastAsia="en-US"/>
              </w:rPr>
            </w:pPr>
            <w:r w:rsidRPr="00E35E86">
              <w:rPr>
                <w:i/>
                <w:color w:val="auto"/>
                <w:sz w:val="22"/>
                <w:szCs w:val="22"/>
                <w:lang w:eastAsia="en-US"/>
              </w:rPr>
              <w:t xml:space="preserve">The White City tennis centre is a rare example of a sporting venue that became the focus of major Australian and international attention attracting world class tennis players, celebrities and large spectator crowds from around the world, including the 1954 Davis Cup unbroken world record of 25,578 spectators. It has continuously operated as a tennis centre since 1922 and is the largest open-air tennis centre in Sydney. </w:t>
            </w:r>
          </w:p>
          <w:p w14:paraId="1DE562C3" w14:textId="77777777" w:rsidR="004A6F97" w:rsidRPr="00E35E86" w:rsidRDefault="004A6F97" w:rsidP="004A6F97">
            <w:pPr>
              <w:pStyle w:val="Default"/>
              <w:rPr>
                <w:i/>
                <w:color w:val="auto"/>
                <w:sz w:val="22"/>
                <w:szCs w:val="22"/>
                <w:lang w:eastAsia="en-US"/>
              </w:rPr>
            </w:pPr>
          </w:p>
          <w:p w14:paraId="040A90E2" w14:textId="77777777" w:rsidR="004A6F97" w:rsidRPr="00E35E86" w:rsidRDefault="004A6F97" w:rsidP="004A6F97">
            <w:pPr>
              <w:pStyle w:val="Default"/>
              <w:rPr>
                <w:i/>
                <w:color w:val="auto"/>
                <w:sz w:val="22"/>
                <w:szCs w:val="22"/>
                <w:lang w:eastAsia="en-US"/>
              </w:rPr>
            </w:pPr>
            <w:r w:rsidRPr="00E35E86">
              <w:rPr>
                <w:i/>
                <w:color w:val="auto"/>
                <w:sz w:val="22"/>
                <w:szCs w:val="22"/>
                <w:lang w:eastAsia="en-US"/>
              </w:rPr>
              <w:t xml:space="preserve">The White City tennis centre demonstrates the significant role played by tennis as a form of recreation, entertainment and competition in NSW and Australia. White City is associated with the development of tennis and the dominance of Australia as a tennis-playing nation on the world stage. Apart from the international tennis events such as the Davis Cup, the Australian and NSW Amateur and Open Championships have been played at the centre. </w:t>
            </w:r>
          </w:p>
          <w:p w14:paraId="2464F0DD" w14:textId="77777777" w:rsidR="00AE357D" w:rsidRPr="00E35E86" w:rsidRDefault="00AE357D" w:rsidP="004A6F97">
            <w:pPr>
              <w:pStyle w:val="Default"/>
              <w:rPr>
                <w:i/>
                <w:color w:val="auto"/>
                <w:sz w:val="22"/>
                <w:szCs w:val="22"/>
                <w:lang w:eastAsia="en-US"/>
              </w:rPr>
            </w:pPr>
          </w:p>
          <w:p w14:paraId="4F79220E" w14:textId="77777777" w:rsidR="004A6F97" w:rsidRPr="00E35E86" w:rsidRDefault="004A6F97" w:rsidP="004A6F97">
            <w:pPr>
              <w:pStyle w:val="Default"/>
              <w:rPr>
                <w:i/>
                <w:color w:val="auto"/>
                <w:sz w:val="22"/>
                <w:szCs w:val="22"/>
                <w:lang w:eastAsia="en-US"/>
              </w:rPr>
            </w:pPr>
            <w:r w:rsidRPr="00E35E86">
              <w:rPr>
                <w:i/>
                <w:color w:val="auto"/>
                <w:sz w:val="22"/>
                <w:szCs w:val="22"/>
                <w:lang w:eastAsia="en-US"/>
              </w:rPr>
              <w:t xml:space="preserve">The two Centre Courts, the championship courts surrounded by grandstands at the south of the site, are of high historic and social significance as the core precinct of the tennis complex. The Centre Court space and its containment as an arena evoke a sense of occasion and are associated with memories of both victory and defeat. The Southern Stand is historically significant as the first to be constructed about the Centre Court in 1923 and for its association with the Lawn Tennis Association Presidents' and Ground Members' seats. </w:t>
            </w:r>
          </w:p>
          <w:p w14:paraId="751C4FC5" w14:textId="77777777" w:rsidR="00AE357D" w:rsidRPr="00E35E86" w:rsidRDefault="00AE357D" w:rsidP="004A6F97">
            <w:pPr>
              <w:pStyle w:val="Default"/>
              <w:rPr>
                <w:i/>
                <w:color w:val="auto"/>
                <w:sz w:val="22"/>
                <w:szCs w:val="22"/>
                <w:lang w:eastAsia="en-US"/>
              </w:rPr>
            </w:pPr>
          </w:p>
          <w:p w14:paraId="5A2D2CDB" w14:textId="77777777" w:rsidR="004A6F97" w:rsidRPr="00E35E86" w:rsidRDefault="004A6F97" w:rsidP="004A6F97">
            <w:pPr>
              <w:pStyle w:val="Default"/>
              <w:rPr>
                <w:i/>
                <w:color w:val="auto"/>
                <w:sz w:val="22"/>
                <w:szCs w:val="22"/>
                <w:lang w:eastAsia="en-US"/>
              </w:rPr>
            </w:pPr>
            <w:r w:rsidRPr="00E35E86">
              <w:rPr>
                <w:i/>
                <w:color w:val="auto"/>
                <w:sz w:val="22"/>
                <w:szCs w:val="22"/>
                <w:lang w:eastAsia="en-US"/>
              </w:rPr>
              <w:t>Apart from its association with international tennis competitions and contributions to Australia's international sporting image, the White City tennis centre is also held in high community esteem at the local level for its popularity as a community sporting and social facility.</w:t>
            </w:r>
          </w:p>
          <w:p w14:paraId="121EA3CE" w14:textId="77777777" w:rsidR="004A6F97" w:rsidRPr="00E35E86" w:rsidRDefault="004A6F97" w:rsidP="004A6F97">
            <w:pPr>
              <w:pStyle w:val="Default"/>
              <w:rPr>
                <w:i/>
                <w:color w:val="auto"/>
                <w:sz w:val="22"/>
                <w:szCs w:val="22"/>
                <w:lang w:eastAsia="en-US"/>
              </w:rPr>
            </w:pPr>
            <w:r w:rsidRPr="00E35E86">
              <w:rPr>
                <w:i/>
                <w:color w:val="auto"/>
                <w:sz w:val="22"/>
                <w:szCs w:val="22"/>
                <w:lang w:eastAsia="en-US"/>
              </w:rPr>
              <w:t xml:space="preserve"> </w:t>
            </w:r>
          </w:p>
          <w:p w14:paraId="3C7ECBEF" w14:textId="77777777" w:rsidR="004A6F97" w:rsidRPr="00E35E86" w:rsidRDefault="004A6F97" w:rsidP="004A6F97">
            <w:pPr>
              <w:pStyle w:val="Default"/>
              <w:rPr>
                <w:i/>
                <w:color w:val="auto"/>
                <w:sz w:val="22"/>
                <w:szCs w:val="22"/>
                <w:lang w:eastAsia="en-US"/>
              </w:rPr>
            </w:pPr>
            <w:r w:rsidRPr="00E35E86">
              <w:rPr>
                <w:i/>
                <w:color w:val="auto"/>
                <w:sz w:val="22"/>
                <w:szCs w:val="22"/>
                <w:lang w:eastAsia="en-US"/>
              </w:rPr>
              <w:t xml:space="preserve">Technical advances associated with White City include the first electric scoreboard in Australia, a portable machine built by club member Ted Booth for the 1952 NSW Championships. In 1957 the NSW titles were televised live for the first time anywhere in the country as television was just one year old in Australia. The tennis court surfaces, particularly the lawn and Rebound Ace Centre Courts, are representative of the better surfaces nationally and worldwide. </w:t>
            </w:r>
          </w:p>
          <w:p w14:paraId="67626F35" w14:textId="77777777" w:rsidR="004A6F97" w:rsidRPr="00E35E86" w:rsidRDefault="004A6F97" w:rsidP="004A6F97">
            <w:pPr>
              <w:pStyle w:val="Default"/>
              <w:rPr>
                <w:i/>
                <w:color w:val="auto"/>
                <w:sz w:val="22"/>
                <w:szCs w:val="22"/>
                <w:lang w:eastAsia="en-US"/>
              </w:rPr>
            </w:pPr>
          </w:p>
          <w:p w14:paraId="465126DC" w14:textId="77777777" w:rsidR="004A6F97" w:rsidRPr="00E35E86" w:rsidRDefault="004A6F97" w:rsidP="004A6F97">
            <w:pPr>
              <w:pStyle w:val="Default"/>
              <w:rPr>
                <w:i/>
                <w:color w:val="auto"/>
                <w:sz w:val="22"/>
                <w:szCs w:val="22"/>
                <w:lang w:eastAsia="en-US"/>
              </w:rPr>
            </w:pPr>
            <w:r w:rsidRPr="00E35E86">
              <w:rPr>
                <w:i/>
                <w:color w:val="auto"/>
                <w:sz w:val="22"/>
                <w:szCs w:val="22"/>
                <w:lang w:eastAsia="en-US"/>
              </w:rPr>
              <w:t xml:space="preserve">There has been a long association between the NSW Lawn tennis Association, now Tennis NSW, and White City Tennis Club who have jointly operated on the site since 1948, originally in separate clubhouses and between1971-1999 jointly under the Northern Stand. Both have a long association with the history of tennis, which is encapsulated in the extensive collection of memorabilia held in the Australian Tennis Museum and by the White City Club. </w:t>
            </w:r>
          </w:p>
          <w:p w14:paraId="324CA143" w14:textId="77777777" w:rsidR="004A6F97" w:rsidRPr="00E35E86" w:rsidRDefault="004A6F97" w:rsidP="004A6F97">
            <w:pPr>
              <w:pStyle w:val="Default"/>
              <w:rPr>
                <w:i/>
                <w:color w:val="auto"/>
                <w:sz w:val="22"/>
                <w:szCs w:val="22"/>
                <w:lang w:eastAsia="en-US"/>
              </w:rPr>
            </w:pPr>
          </w:p>
          <w:p w14:paraId="40D34AED" w14:textId="64A30DF6" w:rsidR="004A6F97" w:rsidRPr="00E35E86" w:rsidRDefault="004A6F97" w:rsidP="004A6F97">
            <w:pPr>
              <w:pStyle w:val="Default"/>
              <w:rPr>
                <w:i/>
                <w:color w:val="auto"/>
                <w:sz w:val="22"/>
                <w:szCs w:val="22"/>
                <w:lang w:eastAsia="en-US"/>
              </w:rPr>
            </w:pPr>
            <w:r w:rsidRPr="00E35E86">
              <w:rPr>
                <w:i/>
                <w:color w:val="auto"/>
                <w:sz w:val="22"/>
                <w:szCs w:val="22"/>
                <w:lang w:eastAsia="en-US"/>
              </w:rPr>
              <w:t xml:space="preserve">The open storm-water channel that traverses the site is an arm of Sydney Water's Rushcutters </w:t>
            </w:r>
            <w:r w:rsidRPr="00E35E86">
              <w:rPr>
                <w:i/>
                <w:color w:val="auto"/>
                <w:sz w:val="22"/>
                <w:szCs w:val="22"/>
                <w:lang w:eastAsia="en-US"/>
              </w:rPr>
              <w:lastRenderedPageBreak/>
              <w:t xml:space="preserve">Bay Stormwater Channel No. 84, one of the first of nine purpose built stormwater channels constructed in Sydney in the 1890s. The concrete channel follows the central axis of the La Crozia Valley allowing an understanding of the 18th century topography and the evolution from Glenmore Creek, to an open sewer and finally to the current stormwater channel. </w:t>
            </w:r>
          </w:p>
          <w:p w14:paraId="5E5B881B" w14:textId="77777777" w:rsidR="00C87618" w:rsidRPr="00E35E86" w:rsidRDefault="00C87618" w:rsidP="004A6F97">
            <w:pPr>
              <w:pStyle w:val="Default"/>
              <w:rPr>
                <w:i/>
                <w:color w:val="auto"/>
                <w:sz w:val="22"/>
                <w:szCs w:val="22"/>
                <w:lang w:eastAsia="en-US"/>
              </w:rPr>
            </w:pPr>
          </w:p>
          <w:p w14:paraId="04EE39CC" w14:textId="77777777" w:rsidR="004A6F97" w:rsidRPr="00E35E86" w:rsidRDefault="004A6F97" w:rsidP="004A6F97">
            <w:pPr>
              <w:pStyle w:val="Default"/>
              <w:rPr>
                <w:i/>
                <w:color w:val="auto"/>
                <w:sz w:val="22"/>
                <w:szCs w:val="22"/>
                <w:lang w:eastAsia="en-US"/>
              </w:rPr>
            </w:pPr>
            <w:r w:rsidRPr="00E35E86">
              <w:rPr>
                <w:i/>
                <w:color w:val="auto"/>
                <w:sz w:val="22"/>
                <w:szCs w:val="22"/>
                <w:lang w:eastAsia="en-US"/>
              </w:rPr>
              <w:t xml:space="preserve">The White City site demonstrates the development of Lower Paddington. Originally the land of the Aboriginal Eora people, the site was part of an 1817 grant to William Thomas, although the topography of the site made it unsuitable for settlement. The site came to be used for market gardening first by Europeans and then by Chinese market gardeners who cultivated the land and dominated the supply of fresh fruit and vegetables to the region. The market gardens were replaced by the White City Amusement Park, 1913 -1917, from where the place's current name was gained. </w:t>
            </w:r>
          </w:p>
          <w:p w14:paraId="422BF677" w14:textId="77777777" w:rsidR="004A6F97" w:rsidRPr="00E35E86" w:rsidRDefault="004A6F97" w:rsidP="004A6F97">
            <w:pPr>
              <w:pStyle w:val="Default"/>
              <w:rPr>
                <w:i/>
                <w:color w:val="auto"/>
                <w:sz w:val="22"/>
                <w:szCs w:val="22"/>
                <w:lang w:eastAsia="en-US"/>
              </w:rPr>
            </w:pPr>
          </w:p>
          <w:p w14:paraId="2B9B0547" w14:textId="77777777" w:rsidR="004A6F97" w:rsidRPr="00E35E86" w:rsidRDefault="004A6F97" w:rsidP="00AE357D">
            <w:pPr>
              <w:pStyle w:val="Default"/>
              <w:rPr>
                <w:i/>
                <w:color w:val="auto"/>
                <w:sz w:val="22"/>
                <w:szCs w:val="22"/>
                <w:lang w:eastAsia="en-US"/>
              </w:rPr>
            </w:pPr>
            <w:r w:rsidRPr="00E35E86">
              <w:rPr>
                <w:i/>
                <w:color w:val="auto"/>
                <w:sz w:val="22"/>
                <w:szCs w:val="22"/>
                <w:lang w:eastAsia="en-US"/>
              </w:rPr>
              <w:t xml:space="preserve">The continuous green space and open recreational areas of White City and Lower Paddington are a landmark in the area. The site occupies the lowest ground within a broad shallow valley creating a sense of intimacy due to the enclosure by the surrounding hill-slopes. There are rare views and vistas from within and from outside the site that are unique in Paddington. </w:t>
            </w:r>
          </w:p>
          <w:p w14:paraId="75264AA8" w14:textId="77777777" w:rsidR="004A6F97" w:rsidRPr="00E35E86" w:rsidRDefault="004A6F97" w:rsidP="004A6F97">
            <w:pPr>
              <w:rPr>
                <w:rFonts w:cs="Arial"/>
                <w:color w:val="404040"/>
                <w:szCs w:val="22"/>
              </w:rPr>
            </w:pPr>
          </w:p>
          <w:p w14:paraId="590B1560" w14:textId="77777777" w:rsidR="004A6F97" w:rsidRPr="00E35E86" w:rsidRDefault="004A6F97" w:rsidP="004A6F97">
            <w:pPr>
              <w:rPr>
                <w:rFonts w:cs="Arial"/>
                <w:b/>
                <w:szCs w:val="22"/>
              </w:rPr>
            </w:pPr>
            <w:r w:rsidRPr="00E35E86">
              <w:rPr>
                <w:rFonts w:cs="Arial"/>
                <w:b/>
                <w:szCs w:val="22"/>
              </w:rPr>
              <w:t>Centre Courts</w:t>
            </w:r>
          </w:p>
          <w:p w14:paraId="193FF7F1" w14:textId="77777777" w:rsidR="004A6F97" w:rsidRPr="00E35E86" w:rsidRDefault="004A6F97" w:rsidP="004A6F97">
            <w:pPr>
              <w:rPr>
                <w:rFonts w:cs="Arial"/>
                <w:i/>
                <w:szCs w:val="22"/>
              </w:rPr>
            </w:pPr>
            <w:r w:rsidRPr="00E35E86">
              <w:rPr>
                <w:rFonts w:cs="Arial"/>
                <w:i/>
                <w:szCs w:val="22"/>
              </w:rPr>
              <w:t xml:space="preserve">The Centre Courts have high cultural significance on a state level. </w:t>
            </w:r>
          </w:p>
          <w:p w14:paraId="461799E3" w14:textId="77777777" w:rsidR="004A6F97" w:rsidRPr="00E35E86" w:rsidRDefault="004A6F97" w:rsidP="004A6F97">
            <w:pPr>
              <w:rPr>
                <w:rFonts w:cs="Arial"/>
                <w:i/>
                <w:szCs w:val="22"/>
              </w:rPr>
            </w:pPr>
          </w:p>
          <w:p w14:paraId="1277824B" w14:textId="77777777" w:rsidR="004A6F97" w:rsidRPr="00E35E86" w:rsidRDefault="004A6F97" w:rsidP="004A6F97">
            <w:pPr>
              <w:rPr>
                <w:rFonts w:cs="Arial"/>
                <w:i/>
                <w:szCs w:val="22"/>
              </w:rPr>
            </w:pPr>
            <w:r w:rsidRPr="00E35E86">
              <w:rPr>
                <w:rFonts w:cs="Arial"/>
                <w:i/>
                <w:szCs w:val="22"/>
              </w:rPr>
              <w:t xml:space="preserve">White City Centre Courts are of high historic and social significance as the core precinct of the tennis complex that is associated with the development of tennis in Australia and the dominance of Australia as a tennis-playing nation on the world stage. </w:t>
            </w:r>
          </w:p>
          <w:p w14:paraId="0DCE2F25" w14:textId="77777777" w:rsidR="004A6F97" w:rsidRPr="00E35E86" w:rsidRDefault="004A6F97" w:rsidP="004A6F97">
            <w:pPr>
              <w:rPr>
                <w:rFonts w:cs="Arial"/>
                <w:i/>
                <w:szCs w:val="22"/>
              </w:rPr>
            </w:pPr>
          </w:p>
          <w:p w14:paraId="39F36540" w14:textId="77777777" w:rsidR="004A6F97" w:rsidRPr="00E35E86" w:rsidRDefault="004A6F97" w:rsidP="004A6F97">
            <w:pPr>
              <w:rPr>
                <w:rFonts w:cs="Arial"/>
                <w:i/>
                <w:szCs w:val="22"/>
              </w:rPr>
            </w:pPr>
            <w:r w:rsidRPr="00E35E86">
              <w:rPr>
                <w:rFonts w:cs="Arial"/>
                <w:i/>
                <w:szCs w:val="22"/>
              </w:rPr>
              <w:t xml:space="preserve">The Centre Courts between 1920s-1999, provided the focus for numerous Australian and international tennis tournaments that attracted world class players and record crowds, including the 1954 Davis Cup unbroken world record of 25,578 spectators. </w:t>
            </w:r>
          </w:p>
          <w:p w14:paraId="498014AD" w14:textId="77777777" w:rsidR="004A6F97" w:rsidRPr="00E35E86" w:rsidRDefault="004A6F97" w:rsidP="004A6F97">
            <w:pPr>
              <w:rPr>
                <w:rFonts w:cs="Arial"/>
                <w:i/>
                <w:szCs w:val="22"/>
              </w:rPr>
            </w:pPr>
          </w:p>
          <w:p w14:paraId="51A6152D" w14:textId="77777777" w:rsidR="004A6F97" w:rsidRPr="00E35E86" w:rsidRDefault="004A6F97" w:rsidP="004A6F97">
            <w:pPr>
              <w:rPr>
                <w:rFonts w:cs="Arial"/>
                <w:i/>
                <w:szCs w:val="22"/>
              </w:rPr>
            </w:pPr>
            <w:r w:rsidRPr="00E35E86">
              <w:rPr>
                <w:rFonts w:cs="Arial"/>
                <w:i/>
                <w:szCs w:val="22"/>
              </w:rPr>
              <w:t xml:space="preserve">The Centre Courts arena is a unique area of the White City Tennis complex. It is held in high community esteem as the contained space evokes a sense of occasion and is associated with memories of victory and defeat of significant contests. </w:t>
            </w:r>
          </w:p>
          <w:p w14:paraId="6B874180" w14:textId="77777777" w:rsidR="004A6F97" w:rsidRPr="00E35E86" w:rsidRDefault="004A6F97" w:rsidP="004A6F97">
            <w:pPr>
              <w:rPr>
                <w:rFonts w:cs="Arial"/>
                <w:i/>
                <w:szCs w:val="22"/>
              </w:rPr>
            </w:pPr>
          </w:p>
          <w:p w14:paraId="3EE8C9C1" w14:textId="77777777" w:rsidR="004A6F97" w:rsidRPr="00E35E86" w:rsidRDefault="004A6F97" w:rsidP="004A6F97">
            <w:pPr>
              <w:rPr>
                <w:rFonts w:cs="Arial"/>
                <w:i/>
                <w:szCs w:val="22"/>
              </w:rPr>
            </w:pPr>
            <w:r w:rsidRPr="00E35E86">
              <w:rPr>
                <w:rFonts w:cs="Arial"/>
                <w:i/>
                <w:szCs w:val="22"/>
              </w:rPr>
              <w:t xml:space="preserve">White City led the way in technical advances by laying a Rebound Ace synthetic surface at Centre Court in 1989. The competition grass court, a mixture of different varieties of couch grass, is a quality surface, expertly prepared and maintained. </w:t>
            </w:r>
          </w:p>
          <w:p w14:paraId="0390CD81" w14:textId="77777777" w:rsidR="004A6F97" w:rsidRPr="00E35E86" w:rsidRDefault="004A6F97" w:rsidP="004A6F97">
            <w:pPr>
              <w:rPr>
                <w:rFonts w:cs="Arial"/>
                <w:i/>
                <w:szCs w:val="22"/>
              </w:rPr>
            </w:pPr>
          </w:p>
          <w:p w14:paraId="65287FEA" w14:textId="77777777" w:rsidR="004A6F97" w:rsidRPr="00E35E86" w:rsidRDefault="004A6F97" w:rsidP="004A6F97">
            <w:pPr>
              <w:rPr>
                <w:rFonts w:cs="Arial"/>
                <w:i/>
                <w:szCs w:val="22"/>
              </w:rPr>
            </w:pPr>
            <w:r w:rsidRPr="00E35E86">
              <w:rPr>
                <w:rFonts w:cs="Arial"/>
                <w:i/>
                <w:szCs w:val="22"/>
              </w:rPr>
              <w:t>White City Tennis Centre had the first portable electric scoreboard, now not extant, which was built by Ted Both in 1952 for the NSW championships. In 1957 the NSW titles were televised live for the first time in the country as television was just one year old in Australia.</w:t>
            </w:r>
          </w:p>
          <w:p w14:paraId="5DC01ABC" w14:textId="77777777" w:rsidR="004A6F97" w:rsidRPr="00E35E86" w:rsidRDefault="004A6F97" w:rsidP="004A6F97">
            <w:pPr>
              <w:rPr>
                <w:rFonts w:cs="Arial"/>
                <w:i/>
                <w:szCs w:val="22"/>
              </w:rPr>
            </w:pPr>
          </w:p>
          <w:p w14:paraId="2DCE7943" w14:textId="77777777" w:rsidR="004A6F97" w:rsidRPr="00E35E86" w:rsidRDefault="004A6F97" w:rsidP="004A6F97">
            <w:pPr>
              <w:rPr>
                <w:rFonts w:cs="Arial"/>
                <w:szCs w:val="22"/>
              </w:rPr>
            </w:pPr>
          </w:p>
          <w:p w14:paraId="650EC672" w14:textId="77777777" w:rsidR="004A6F97" w:rsidRPr="00E35E86" w:rsidRDefault="004A6F97" w:rsidP="004A6F97">
            <w:pPr>
              <w:rPr>
                <w:rFonts w:cs="Arial"/>
                <w:szCs w:val="22"/>
              </w:rPr>
            </w:pPr>
            <w:r w:rsidRPr="00E35E86">
              <w:rPr>
                <w:rFonts w:cs="Arial"/>
                <w:szCs w:val="22"/>
              </w:rPr>
              <w:t xml:space="preserve">White City is identified as a ‘Registered’ site on the non-statutory Register of the National Estate (Place ID 101983, Place File No.1/12/041/0129). A Statement of Significance is available at </w:t>
            </w:r>
            <w:hyperlink r:id="rId8" w:history="1">
              <w:r w:rsidRPr="00E35E86">
                <w:rPr>
                  <w:rStyle w:val="Hyperlink"/>
                  <w:rFonts w:cs="Arial"/>
                  <w:szCs w:val="22"/>
                </w:rPr>
                <w:t>http://www.environment.gov.au/cgi-bin/ahdb/search.pl?mode=place_detail;search=place_name%3Dwhite%2520city%3Bkeyword_PD%3Don%3Bkeyword_SS%3Don%3Bkeyword_PH%3Don%3Blatitude_1dir%3DS%3Blongitude_1dir%3DE%3Blongitude_2dir%3DE%3Blatitude_2dir%3DS%3Bin_region%3Dpart;place_id=101983</w:t>
              </w:r>
            </w:hyperlink>
            <w:r w:rsidRPr="00E35E86">
              <w:rPr>
                <w:rFonts w:cs="Arial"/>
                <w:szCs w:val="22"/>
              </w:rPr>
              <w:t xml:space="preserve"> , which is copied below:</w:t>
            </w:r>
          </w:p>
          <w:p w14:paraId="02DFEBB8" w14:textId="77777777" w:rsidR="004A6F97" w:rsidRPr="00E35E86" w:rsidRDefault="004A6F97" w:rsidP="004A6F97">
            <w:pPr>
              <w:rPr>
                <w:rFonts w:cs="Arial"/>
                <w:szCs w:val="22"/>
              </w:rPr>
            </w:pPr>
          </w:p>
          <w:p w14:paraId="63629F53" w14:textId="77777777" w:rsidR="004A6F97" w:rsidRPr="00E35E86" w:rsidRDefault="004A6F97" w:rsidP="004A6F97">
            <w:pPr>
              <w:rPr>
                <w:rFonts w:cs="Arial"/>
                <w:szCs w:val="22"/>
              </w:rPr>
            </w:pPr>
            <w:r w:rsidRPr="00E35E86">
              <w:rPr>
                <w:rFonts w:cs="Arial"/>
                <w:i/>
                <w:szCs w:val="22"/>
              </w:rPr>
              <w:t xml:space="preserve">The White City tennis centre (opening in 1922 and operating continuously to the present), demonstrates the significant role played by tennis as a form of recreation, entertainment and competition in NSW and Australia. White City has hosted a range of national and international </w:t>
            </w:r>
            <w:r w:rsidRPr="00E35E86">
              <w:rPr>
                <w:rFonts w:cs="Arial"/>
                <w:i/>
                <w:szCs w:val="22"/>
              </w:rPr>
              <w:lastRenderedPageBreak/>
              <w:t xml:space="preserve">tennis events including the Davis Cup, Australian Open, and NSW Open Championships. It has served as a significant sporting venue over many years. </w:t>
            </w:r>
            <w:r w:rsidRPr="00E35E86">
              <w:rPr>
                <w:rFonts w:cs="Arial"/>
                <w:i/>
                <w:szCs w:val="22"/>
              </w:rPr>
              <w:br/>
            </w:r>
            <w:r w:rsidRPr="00E35E86">
              <w:rPr>
                <w:rFonts w:cs="Arial"/>
                <w:i/>
                <w:szCs w:val="22"/>
              </w:rPr>
              <w:br/>
              <w:t xml:space="preserve">The White City tennis centre has historic significance for its contribution to the international perception of Australia as a world class sporting nation, through it serving as the venue for many international tennis events such as the Australian Open Championships and the Davis Cup. </w:t>
            </w:r>
            <w:r w:rsidRPr="00E35E86">
              <w:rPr>
                <w:rFonts w:cs="Arial"/>
                <w:i/>
                <w:szCs w:val="22"/>
              </w:rPr>
              <w:br/>
            </w:r>
            <w:r w:rsidRPr="00E35E86">
              <w:rPr>
                <w:rFonts w:cs="Arial"/>
                <w:i/>
                <w:szCs w:val="22"/>
              </w:rPr>
              <w:br/>
              <w:t xml:space="preserve">The White City tennis centre is linked to the history of the game of Lawn Tennis and the New South Wales Lawn Tennis Association which established the White City tennis centre in 1922 and continues to occupy the site. The tennis centre has been utilised by the NSW Lawn Tennis Association (Tennis NSW) and the White City Club, which have a long association with the social history of tennis in the region and the state. </w:t>
            </w:r>
            <w:r w:rsidRPr="00E35E86">
              <w:rPr>
                <w:rFonts w:cs="Arial"/>
                <w:i/>
                <w:szCs w:val="22"/>
              </w:rPr>
              <w:br/>
            </w:r>
            <w:r w:rsidRPr="00E35E86">
              <w:rPr>
                <w:rFonts w:cs="Arial"/>
                <w:i/>
                <w:szCs w:val="22"/>
              </w:rPr>
              <w:br/>
              <w:t xml:space="preserve">The Centre Court area and surrounding tennis courts have historic significance, having served as the arena for international and national tennis events of significance. The Centre Court area contains the championship grass court used at the pinnacle of Davis Cup popularity and a synthetic grass court. The southern grandstand, constructed in 1923, is still in existence today as part of the Centre Court area, and elements of the 1930s northern stand are still evident. </w:t>
            </w:r>
            <w:r w:rsidRPr="00E35E86">
              <w:rPr>
                <w:rFonts w:cs="Arial"/>
                <w:i/>
                <w:szCs w:val="22"/>
              </w:rPr>
              <w:br/>
            </w:r>
            <w:r w:rsidRPr="00E35E86">
              <w:rPr>
                <w:rFonts w:cs="Arial"/>
                <w:i/>
                <w:szCs w:val="22"/>
              </w:rPr>
              <w:br/>
              <w:t>White City tennis centre has the first Electric Scoreboard which was built by Ted Booth in 1952 for</w:t>
            </w:r>
            <w:r w:rsidRPr="00E35E86">
              <w:rPr>
                <w:rFonts w:cs="Arial"/>
                <w:color w:val="000000"/>
                <w:szCs w:val="22"/>
              </w:rPr>
              <w:t xml:space="preserve"> </w:t>
            </w:r>
            <w:r w:rsidRPr="00E35E86">
              <w:rPr>
                <w:rFonts w:cs="Arial"/>
                <w:i/>
                <w:szCs w:val="22"/>
              </w:rPr>
              <w:t xml:space="preserve">the NSW championships. In 1957 the NSW titles were televised live for the first time anywhere in the country as television was just one year old in Australia. </w:t>
            </w:r>
            <w:r w:rsidRPr="00E35E86">
              <w:rPr>
                <w:rFonts w:cs="Arial"/>
                <w:i/>
                <w:szCs w:val="22"/>
              </w:rPr>
              <w:br/>
            </w:r>
            <w:r w:rsidRPr="00E35E86">
              <w:rPr>
                <w:rFonts w:cs="Arial"/>
                <w:i/>
                <w:szCs w:val="22"/>
              </w:rPr>
              <w:br/>
              <w:t xml:space="preserve">The White City site demonstrates the evolution of Lower Paddington. The land was originally part of a grant given in 1817 to William Thomas, although the topography of the site made it unsuitable for settlement. The site came to be used for market gardening first by Europeans, and then by Chinese market gardeners who cultivated the land and dominated the supply of fresh fruit and vegetables to the region. The market gardens were replaced by the White City Amusement Park, 1913 to 1917, from where the place's current name was gained. </w:t>
            </w:r>
            <w:r w:rsidRPr="00E35E86">
              <w:rPr>
                <w:rFonts w:cs="Arial"/>
                <w:i/>
                <w:szCs w:val="22"/>
              </w:rPr>
              <w:br/>
            </w:r>
            <w:r w:rsidRPr="00E35E86">
              <w:rPr>
                <w:rFonts w:cs="Arial"/>
                <w:i/>
                <w:szCs w:val="22"/>
              </w:rPr>
              <w:br/>
              <w:t xml:space="preserve">The open storm water channel is evidence of the former drainage and former creek that ran through the site and is an identifiable early element of the site. </w:t>
            </w:r>
            <w:r w:rsidRPr="00E35E86">
              <w:rPr>
                <w:rFonts w:cs="Arial"/>
                <w:i/>
                <w:szCs w:val="22"/>
              </w:rPr>
              <w:br/>
            </w:r>
            <w:r w:rsidRPr="00E35E86">
              <w:rPr>
                <w:rFonts w:cs="Arial"/>
                <w:i/>
                <w:szCs w:val="22"/>
              </w:rPr>
              <w:br/>
              <w:t xml:space="preserve">(Criterion A.4) (Australian Historic Themes: 8.1 Organising recreation: Playing and watching organised sports; 3.21 Entertaining for profit; 3.12 Feeding people: Developing sources of fresh local produce; 3.11 Altering the environment: Reclaiming land) </w:t>
            </w:r>
            <w:r w:rsidRPr="00E35E86">
              <w:rPr>
                <w:rFonts w:cs="Arial"/>
                <w:i/>
                <w:szCs w:val="22"/>
              </w:rPr>
              <w:br/>
            </w:r>
            <w:r w:rsidRPr="00E35E86">
              <w:rPr>
                <w:rFonts w:cs="Arial"/>
                <w:i/>
                <w:szCs w:val="22"/>
              </w:rPr>
              <w:br/>
              <w:t xml:space="preserve">Through the years the place has been associated with many famous tennis players, both Australian and International (Criterion H.1). </w:t>
            </w:r>
            <w:r w:rsidRPr="00E35E86">
              <w:rPr>
                <w:rFonts w:cs="Arial"/>
                <w:i/>
                <w:szCs w:val="22"/>
              </w:rPr>
              <w:br/>
            </w:r>
            <w:r w:rsidRPr="00E35E86">
              <w:rPr>
                <w:rFonts w:cs="Arial"/>
                <w:i/>
                <w:szCs w:val="22"/>
              </w:rPr>
              <w:br/>
              <w:t xml:space="preserve">The White City tennis centre is of social significance. The tennis centre is held in high regard within the tennis and wider community as the location of significant sporting/tennis championships, and as a prestigious sporting facility. The site is associated with many popular tennis players. The facilities provided by the White City site have brought together people from all over the State, the country and internationally to play both as amateurs and professionals. The Centre Courts and grandstands are viewed as significant by the community, being the arena where many have watched significant tennis games played (Criterion G.1). </w:t>
            </w:r>
            <w:r w:rsidRPr="00E35E86">
              <w:rPr>
                <w:rFonts w:cs="Arial"/>
                <w:i/>
                <w:szCs w:val="22"/>
              </w:rPr>
              <w:br/>
            </w:r>
            <w:r w:rsidRPr="00E35E86">
              <w:rPr>
                <w:rFonts w:cs="Arial"/>
                <w:i/>
                <w:szCs w:val="22"/>
              </w:rPr>
              <w:br/>
              <w:t xml:space="preserve">The White City tennis courts are a rare example of a sporting venue in Australia where important events such as the Davis Cup where held. The Centre Court area has one of the few remaining natural grass courts in Australia which has the capacity to host a major competition (Criterion B.2). </w:t>
            </w:r>
            <w:r w:rsidRPr="00E35E86">
              <w:rPr>
                <w:rFonts w:cs="Arial"/>
                <w:i/>
                <w:szCs w:val="22"/>
              </w:rPr>
              <w:br/>
            </w:r>
            <w:r w:rsidRPr="00E35E86">
              <w:rPr>
                <w:rFonts w:cs="Arial"/>
                <w:i/>
                <w:szCs w:val="22"/>
              </w:rPr>
              <w:br/>
            </w:r>
            <w:r w:rsidRPr="00E35E86">
              <w:rPr>
                <w:rFonts w:cs="Arial"/>
                <w:i/>
                <w:szCs w:val="22"/>
              </w:rPr>
              <w:lastRenderedPageBreak/>
              <w:t xml:space="preserve">The White City tennis courts make a major contribution to the distinctive aesthetic appearance of the Lower Paddington area with its large area of continuous green flat space that begins at Rushcutters Bay and merges together with the Weigall Sports Ground, White City tennis courts and Trumper Park. The site is surrounded by hill slopes rising away from a valley floor. </w:t>
            </w:r>
            <w:r w:rsidRPr="00E35E86">
              <w:rPr>
                <w:rFonts w:cs="Arial"/>
                <w:i/>
                <w:szCs w:val="22"/>
              </w:rPr>
              <w:br/>
            </w:r>
            <w:r w:rsidRPr="00E35E86">
              <w:rPr>
                <w:rFonts w:cs="Arial"/>
                <w:i/>
                <w:szCs w:val="22"/>
              </w:rPr>
              <w:br/>
              <w:t xml:space="preserve">The White City tennis courts have retained a low lying green open space character which assists in the understanding of the history of the site and is aesthetically appealing. </w:t>
            </w:r>
            <w:r w:rsidRPr="00E35E86">
              <w:rPr>
                <w:rFonts w:cs="Arial"/>
                <w:i/>
                <w:szCs w:val="22"/>
              </w:rPr>
              <w:br/>
            </w:r>
          </w:p>
          <w:p w14:paraId="598716CF" w14:textId="77777777" w:rsidR="004A6F97" w:rsidRPr="00E35E86" w:rsidRDefault="004A6F97" w:rsidP="004A6F97">
            <w:pPr>
              <w:rPr>
                <w:rFonts w:cs="Arial"/>
                <w:i/>
                <w:szCs w:val="22"/>
              </w:rPr>
            </w:pPr>
            <w:r w:rsidRPr="00E35E86">
              <w:rPr>
                <w:rFonts w:cs="Arial"/>
                <w:i/>
                <w:szCs w:val="22"/>
              </w:rPr>
              <w:t>The place is also of aesthetic significance because of the views available into and from the Centre. Significant vistas include those from the site to Paddington, taking in the Paddington 'amphitheatre' and from outside the site looking into and across it including those from New South Head Road, Alma Street, Nield Avenue, Glenmore Road, and Walker Avenue. (Criterion E.1).</w:t>
            </w:r>
          </w:p>
          <w:p w14:paraId="2E82E402" w14:textId="77777777" w:rsidR="00A30DAB" w:rsidRPr="008717F9" w:rsidRDefault="00A30DAB" w:rsidP="004A6F97">
            <w:pPr>
              <w:rPr>
                <w:rFonts w:cs="Arial"/>
                <w:i/>
              </w:rPr>
            </w:pPr>
          </w:p>
          <w:p w14:paraId="6E71EE46" w14:textId="75C87295" w:rsidR="00A30DAB" w:rsidRPr="008717F9" w:rsidRDefault="00A30DAB" w:rsidP="004A6F97">
            <w:pPr>
              <w:rPr>
                <w:rFonts w:cs="Arial"/>
              </w:rPr>
            </w:pPr>
            <w:r w:rsidRPr="008717F9">
              <w:rPr>
                <w:rFonts w:cs="Arial"/>
              </w:rPr>
              <w:t>The Heritage Referral Response by Council’s Heritage Officer Flavia Scardamaglia</w:t>
            </w:r>
            <w:r w:rsidR="003176B9" w:rsidRPr="008717F9">
              <w:rPr>
                <w:rFonts w:cs="Arial"/>
              </w:rPr>
              <w:t>, dated 9 March 2020</w:t>
            </w:r>
            <w:r w:rsidRPr="008717F9">
              <w:rPr>
                <w:rFonts w:cs="Arial"/>
              </w:rPr>
              <w:t xml:space="preserve"> </w:t>
            </w:r>
            <w:r w:rsidR="00C87618">
              <w:rPr>
                <w:rFonts w:cs="Arial"/>
              </w:rPr>
              <w:t xml:space="preserve">for DA2019/477/1 </w:t>
            </w:r>
            <w:r w:rsidRPr="008717F9">
              <w:rPr>
                <w:rFonts w:cs="Arial"/>
              </w:rPr>
              <w:t>identified the following contributory items within the subject property:</w:t>
            </w:r>
          </w:p>
          <w:p w14:paraId="3ECDC6EC" w14:textId="49F86364" w:rsidR="00A30DAB" w:rsidRPr="00C87618" w:rsidRDefault="00A30DAB" w:rsidP="00C87618">
            <w:pPr>
              <w:autoSpaceDE w:val="0"/>
              <w:autoSpaceDN w:val="0"/>
              <w:adjustRightInd w:val="0"/>
              <w:spacing w:line="240" w:lineRule="atLeast"/>
              <w:rPr>
                <w:rFonts w:cs="Arial"/>
                <w:i/>
                <w:color w:val="000000"/>
                <w:szCs w:val="24"/>
                <w:lang w:val="en-US"/>
              </w:rPr>
            </w:pPr>
          </w:p>
          <w:p w14:paraId="77551157" w14:textId="77777777" w:rsidR="00A30DAB" w:rsidRPr="008717F9" w:rsidRDefault="00A30DAB" w:rsidP="00401641">
            <w:pPr>
              <w:pStyle w:val="ListParagraph"/>
              <w:numPr>
                <w:ilvl w:val="0"/>
                <w:numId w:val="10"/>
              </w:numPr>
              <w:autoSpaceDE w:val="0"/>
              <w:autoSpaceDN w:val="0"/>
              <w:adjustRightInd w:val="0"/>
              <w:spacing w:line="240" w:lineRule="atLeast"/>
              <w:ind w:left="1134" w:hanging="425"/>
              <w:rPr>
                <w:rFonts w:cs="Arial"/>
                <w:i/>
                <w:color w:val="000000"/>
                <w:szCs w:val="24"/>
                <w:lang w:val="en-US"/>
              </w:rPr>
            </w:pPr>
            <w:r w:rsidRPr="008717F9">
              <w:rPr>
                <w:rFonts w:cs="Arial"/>
                <w:i/>
                <w:color w:val="000000"/>
                <w:szCs w:val="24"/>
                <w:lang w:val="en-US"/>
              </w:rPr>
              <w:t xml:space="preserve">The 1923 southern grandstand for which it is proposed adaptive re-use. The 1923 section of the stand is graded as ‘high’ in the 2015 CMP by Urbis, however later additions are of little significance at local level; </w:t>
            </w:r>
          </w:p>
          <w:p w14:paraId="15872CFF" w14:textId="77777777" w:rsidR="00A30DAB" w:rsidRPr="008717F9" w:rsidRDefault="00A30DAB" w:rsidP="00A30DAB">
            <w:pPr>
              <w:pStyle w:val="ListParagraph"/>
              <w:autoSpaceDE w:val="0"/>
              <w:autoSpaceDN w:val="0"/>
              <w:adjustRightInd w:val="0"/>
              <w:spacing w:line="240" w:lineRule="atLeast"/>
              <w:ind w:left="1134"/>
              <w:rPr>
                <w:rFonts w:cs="Arial"/>
                <w:i/>
                <w:color w:val="000000"/>
                <w:szCs w:val="24"/>
                <w:lang w:val="en-US"/>
              </w:rPr>
            </w:pPr>
          </w:p>
          <w:p w14:paraId="7DD5E5CF" w14:textId="77777777" w:rsidR="00A30DAB" w:rsidRPr="008717F9" w:rsidRDefault="00A30DAB" w:rsidP="00401641">
            <w:pPr>
              <w:pStyle w:val="ListParagraph"/>
              <w:numPr>
                <w:ilvl w:val="0"/>
                <w:numId w:val="10"/>
              </w:numPr>
              <w:autoSpaceDE w:val="0"/>
              <w:autoSpaceDN w:val="0"/>
              <w:adjustRightInd w:val="0"/>
              <w:spacing w:line="240" w:lineRule="atLeast"/>
              <w:ind w:left="1134" w:hanging="425"/>
              <w:rPr>
                <w:rFonts w:cs="Arial"/>
                <w:i/>
                <w:color w:val="000000"/>
                <w:szCs w:val="24"/>
                <w:lang w:val="en-US"/>
              </w:rPr>
            </w:pPr>
            <w:r w:rsidRPr="008717F9">
              <w:rPr>
                <w:rFonts w:cs="Arial"/>
                <w:i/>
                <w:color w:val="000000"/>
                <w:szCs w:val="24"/>
                <w:lang w:val="en-US"/>
              </w:rPr>
              <w:t>The ‘heritage arches’ which are remnants of the 1932 grandstand designed by Professor Leslie Wilkinson for the NSW Lawn Tennis Association. There are graded of ‘High’ significance at local level in the 2015 CMP report by Urbis. There is no mention to Leslie Wilkinson’s design in the Urbis report;</w:t>
            </w:r>
          </w:p>
          <w:p w14:paraId="11DE38BA" w14:textId="77777777" w:rsidR="00A30DAB" w:rsidRPr="008717F9" w:rsidRDefault="00A30DAB" w:rsidP="00A30DAB">
            <w:pPr>
              <w:pStyle w:val="ListParagraph"/>
              <w:rPr>
                <w:rFonts w:cs="Arial"/>
                <w:i/>
                <w:color w:val="000000"/>
                <w:szCs w:val="24"/>
                <w:lang w:val="en-US"/>
              </w:rPr>
            </w:pPr>
          </w:p>
          <w:p w14:paraId="1532FB3C" w14:textId="77777777" w:rsidR="00A30DAB" w:rsidRPr="008717F9" w:rsidRDefault="00A30DAB" w:rsidP="00401641">
            <w:pPr>
              <w:pStyle w:val="ListParagraph"/>
              <w:numPr>
                <w:ilvl w:val="0"/>
                <w:numId w:val="10"/>
              </w:numPr>
              <w:autoSpaceDE w:val="0"/>
              <w:autoSpaceDN w:val="0"/>
              <w:adjustRightInd w:val="0"/>
              <w:spacing w:line="240" w:lineRule="atLeast"/>
              <w:ind w:left="1134" w:hanging="425"/>
              <w:rPr>
                <w:rFonts w:cs="Arial"/>
                <w:i/>
                <w:color w:val="000000"/>
                <w:szCs w:val="24"/>
                <w:lang w:val="en-US"/>
              </w:rPr>
            </w:pPr>
            <w:r w:rsidRPr="008717F9">
              <w:rPr>
                <w:rFonts w:cs="Arial"/>
                <w:i/>
                <w:color w:val="000000"/>
                <w:szCs w:val="24"/>
                <w:lang w:val="en-US"/>
              </w:rPr>
              <w:t>The centre courts between the northern and southern grandstands. This is graded of ‘high’ significance at State level in the 2015 CMP by Urbis;</w:t>
            </w:r>
          </w:p>
          <w:p w14:paraId="5FDCE118" w14:textId="77777777" w:rsidR="00A30DAB" w:rsidRPr="008717F9" w:rsidRDefault="00A30DAB" w:rsidP="00A30DAB">
            <w:pPr>
              <w:pStyle w:val="ListParagraph"/>
              <w:rPr>
                <w:rFonts w:cs="Arial"/>
                <w:i/>
                <w:color w:val="000000"/>
                <w:szCs w:val="24"/>
                <w:lang w:val="en-US"/>
              </w:rPr>
            </w:pPr>
          </w:p>
          <w:p w14:paraId="37B44DAE" w14:textId="77777777" w:rsidR="00A30DAB" w:rsidRPr="008717F9" w:rsidRDefault="00A30DAB" w:rsidP="00401641">
            <w:pPr>
              <w:pStyle w:val="ListParagraph"/>
              <w:numPr>
                <w:ilvl w:val="0"/>
                <w:numId w:val="10"/>
              </w:numPr>
              <w:autoSpaceDE w:val="0"/>
              <w:autoSpaceDN w:val="0"/>
              <w:adjustRightInd w:val="0"/>
              <w:spacing w:line="240" w:lineRule="atLeast"/>
              <w:ind w:left="1134" w:hanging="425"/>
              <w:rPr>
                <w:rFonts w:cs="Arial"/>
                <w:i/>
                <w:color w:val="000000"/>
                <w:szCs w:val="24"/>
                <w:lang w:val="en-US"/>
              </w:rPr>
            </w:pPr>
            <w:r w:rsidRPr="008717F9">
              <w:rPr>
                <w:rFonts w:cs="Arial"/>
                <w:i/>
                <w:color w:val="000000"/>
                <w:szCs w:val="24"/>
                <w:lang w:val="en-US"/>
              </w:rPr>
              <w:t>Ticket building and NSWTA Gates which are graded of little and moderate significance respectively at local level in the 2015 CMP by Urbis;</w:t>
            </w:r>
          </w:p>
          <w:p w14:paraId="1B14DEA2" w14:textId="77777777" w:rsidR="00A30DAB" w:rsidRPr="008717F9" w:rsidRDefault="00A30DAB" w:rsidP="00A30DAB">
            <w:pPr>
              <w:pStyle w:val="ListParagraph"/>
              <w:rPr>
                <w:rFonts w:cs="Arial"/>
                <w:i/>
                <w:color w:val="000000"/>
                <w:szCs w:val="24"/>
                <w:lang w:val="en-US"/>
              </w:rPr>
            </w:pPr>
          </w:p>
          <w:p w14:paraId="0AADBF34" w14:textId="77777777" w:rsidR="00A30DAB" w:rsidRPr="008717F9" w:rsidRDefault="00A30DAB" w:rsidP="00401641">
            <w:pPr>
              <w:pStyle w:val="ListParagraph"/>
              <w:numPr>
                <w:ilvl w:val="0"/>
                <w:numId w:val="10"/>
              </w:numPr>
              <w:autoSpaceDE w:val="0"/>
              <w:autoSpaceDN w:val="0"/>
              <w:adjustRightInd w:val="0"/>
              <w:spacing w:line="240" w:lineRule="atLeast"/>
              <w:ind w:left="1134" w:hanging="425"/>
              <w:rPr>
                <w:rFonts w:cs="Arial"/>
                <w:i/>
                <w:color w:val="000000"/>
                <w:szCs w:val="24"/>
                <w:lang w:val="en-US"/>
              </w:rPr>
            </w:pPr>
            <w:r w:rsidRPr="008717F9">
              <w:rPr>
                <w:rFonts w:cs="Arial"/>
                <w:i/>
                <w:color w:val="000000"/>
                <w:szCs w:val="24"/>
                <w:lang w:val="en-US"/>
              </w:rPr>
              <w:t>Moveable Heritage – Tennis NSW Memorabilia which is graded on high significance at State level in the 2015 CMP by Urbis. White City Club Memorabilia are graded of high significance at local level; and</w:t>
            </w:r>
          </w:p>
          <w:p w14:paraId="468CD2E8" w14:textId="77777777" w:rsidR="00A30DAB" w:rsidRPr="008717F9" w:rsidRDefault="00A30DAB" w:rsidP="00A30DAB">
            <w:pPr>
              <w:pStyle w:val="ListParagraph"/>
              <w:rPr>
                <w:rFonts w:cs="Arial"/>
                <w:i/>
                <w:color w:val="000000"/>
                <w:szCs w:val="24"/>
                <w:lang w:val="en-US"/>
              </w:rPr>
            </w:pPr>
          </w:p>
          <w:p w14:paraId="2383DDC8" w14:textId="77777777" w:rsidR="00A30DAB" w:rsidRPr="008717F9" w:rsidRDefault="00A30DAB" w:rsidP="00401641">
            <w:pPr>
              <w:pStyle w:val="ListParagraph"/>
              <w:numPr>
                <w:ilvl w:val="0"/>
                <w:numId w:val="10"/>
              </w:numPr>
              <w:autoSpaceDE w:val="0"/>
              <w:autoSpaceDN w:val="0"/>
              <w:adjustRightInd w:val="0"/>
              <w:spacing w:line="240" w:lineRule="atLeast"/>
              <w:ind w:left="1134" w:hanging="425"/>
              <w:rPr>
                <w:rFonts w:cs="Arial"/>
                <w:i/>
                <w:color w:val="000000"/>
                <w:szCs w:val="24"/>
                <w:lang w:val="en-US"/>
              </w:rPr>
            </w:pPr>
            <w:r w:rsidRPr="008717F9">
              <w:rPr>
                <w:rFonts w:cs="Arial"/>
                <w:i/>
                <w:color w:val="000000"/>
                <w:szCs w:val="24"/>
                <w:lang w:val="en-US"/>
              </w:rPr>
              <w:t xml:space="preserve">The green and open valley character is also considered to be of high significance in terms of view and vistas across the site from various angles and from within the White City grounds. </w:t>
            </w:r>
          </w:p>
          <w:p w14:paraId="14E010C9" w14:textId="77777777" w:rsidR="00A30DAB" w:rsidRPr="008717F9" w:rsidRDefault="00A30DAB" w:rsidP="00A30DAB">
            <w:pPr>
              <w:pStyle w:val="ListParagraph"/>
              <w:rPr>
                <w:rFonts w:cs="Arial"/>
                <w:i/>
                <w:color w:val="000000"/>
                <w:szCs w:val="24"/>
                <w:lang w:val="en-US"/>
              </w:rPr>
            </w:pPr>
          </w:p>
          <w:p w14:paraId="72F09B4D" w14:textId="77777777" w:rsidR="00A30DAB" w:rsidRPr="008717F9" w:rsidRDefault="00A30DAB" w:rsidP="00401641">
            <w:pPr>
              <w:pStyle w:val="ListParagraph"/>
              <w:numPr>
                <w:ilvl w:val="0"/>
                <w:numId w:val="10"/>
              </w:numPr>
              <w:autoSpaceDE w:val="0"/>
              <w:autoSpaceDN w:val="0"/>
              <w:adjustRightInd w:val="0"/>
              <w:spacing w:line="240" w:lineRule="atLeast"/>
              <w:ind w:left="1134" w:hanging="425"/>
              <w:rPr>
                <w:rFonts w:cs="Arial"/>
                <w:i/>
                <w:color w:val="000000"/>
                <w:szCs w:val="24"/>
                <w:lang w:val="en-US"/>
              </w:rPr>
            </w:pPr>
            <w:r w:rsidRPr="008717F9">
              <w:rPr>
                <w:rFonts w:cs="Arial"/>
                <w:i/>
                <w:color w:val="000000"/>
                <w:szCs w:val="24"/>
                <w:lang w:val="en-US"/>
              </w:rPr>
              <w:t>The c1922 timber (Western) bridge connecting 30 Alma street to the northern area of White City. It is understood this is not within the area subject to the development proposal, therefore no assessment will be undertaken as part of this proposal.</w:t>
            </w:r>
          </w:p>
        </w:tc>
      </w:tr>
    </w:tbl>
    <w:p w14:paraId="3F4410D6" w14:textId="77777777" w:rsidR="00E35E86" w:rsidRDefault="00E35E86" w:rsidP="00124951">
      <w:pPr>
        <w:rPr>
          <w:rFonts w:cs="Arial"/>
          <w:u w:val="single"/>
        </w:rPr>
      </w:pPr>
    </w:p>
    <w:p w14:paraId="2AB1E692" w14:textId="31EBD480" w:rsidR="00124951" w:rsidRDefault="00124951" w:rsidP="00124951">
      <w:pPr>
        <w:rPr>
          <w:rFonts w:cs="Arial"/>
          <w:u w:val="single"/>
        </w:rPr>
      </w:pPr>
      <w:r>
        <w:rPr>
          <w:rFonts w:cs="Arial"/>
          <w:u w:val="single"/>
        </w:rPr>
        <w:t>The Proposal</w:t>
      </w:r>
    </w:p>
    <w:p w14:paraId="3B64412A" w14:textId="1C954026" w:rsidR="00124951" w:rsidRDefault="00124951" w:rsidP="00124951">
      <w:pPr>
        <w:rPr>
          <w:rFonts w:cs="Arial"/>
        </w:rPr>
      </w:pPr>
      <w:r>
        <w:rPr>
          <w:rFonts w:cs="Arial"/>
        </w:rPr>
        <w:t>The proposed Section 4.55 Application includes the following modifications to the Approved DA (DA2019/477/1):</w:t>
      </w:r>
    </w:p>
    <w:p w14:paraId="24CAA5F5" w14:textId="29D3F930" w:rsidR="00124951" w:rsidRDefault="00124951" w:rsidP="00124951">
      <w:pPr>
        <w:rPr>
          <w:rFonts w:cs="Arial"/>
        </w:rPr>
      </w:pPr>
    </w:p>
    <w:p w14:paraId="440B7C61" w14:textId="7D2601BB" w:rsidR="00124951" w:rsidRPr="00124951" w:rsidRDefault="00124951" w:rsidP="00401641">
      <w:pPr>
        <w:pStyle w:val="ListParagraph"/>
        <w:numPr>
          <w:ilvl w:val="0"/>
          <w:numId w:val="11"/>
        </w:numPr>
        <w:rPr>
          <w:rFonts w:cs="Arial"/>
          <w:i/>
        </w:rPr>
      </w:pPr>
      <w:r>
        <w:rPr>
          <w:rFonts w:cs="Arial"/>
        </w:rPr>
        <w:t>Changes to the materiality of the new gym and clubhouse</w:t>
      </w:r>
    </w:p>
    <w:p w14:paraId="177BA7DD" w14:textId="327F722C" w:rsidR="00124951" w:rsidRPr="00494C7E" w:rsidRDefault="00494C7E" w:rsidP="00401641">
      <w:pPr>
        <w:pStyle w:val="ListParagraph"/>
        <w:numPr>
          <w:ilvl w:val="0"/>
          <w:numId w:val="11"/>
        </w:numPr>
        <w:rPr>
          <w:rFonts w:cs="Arial"/>
          <w:i/>
        </w:rPr>
      </w:pPr>
      <w:r>
        <w:rPr>
          <w:rFonts w:cs="Arial"/>
        </w:rPr>
        <w:t>Addition of a rock climbing wall along the northern side of the multi-use courts</w:t>
      </w:r>
    </w:p>
    <w:p w14:paraId="5E4BCD5C" w14:textId="24B68D13" w:rsidR="00494C7E" w:rsidRPr="00494C7E" w:rsidRDefault="00494C7E" w:rsidP="00401641">
      <w:pPr>
        <w:pStyle w:val="ListParagraph"/>
        <w:numPr>
          <w:ilvl w:val="0"/>
          <w:numId w:val="11"/>
        </w:numPr>
        <w:rPr>
          <w:rFonts w:cs="Arial"/>
          <w:i/>
        </w:rPr>
      </w:pPr>
      <w:r>
        <w:rPr>
          <w:rFonts w:cs="Arial"/>
        </w:rPr>
        <w:t>Changes to the design of the entry from Glenmore Road</w:t>
      </w:r>
    </w:p>
    <w:p w14:paraId="0A4EDE08" w14:textId="07308DA1" w:rsidR="00494C7E" w:rsidRPr="00494C7E" w:rsidRDefault="00494C7E" w:rsidP="00401641">
      <w:pPr>
        <w:pStyle w:val="ListParagraph"/>
        <w:numPr>
          <w:ilvl w:val="0"/>
          <w:numId w:val="11"/>
        </w:numPr>
        <w:rPr>
          <w:rFonts w:cs="Arial"/>
          <w:i/>
        </w:rPr>
      </w:pPr>
      <w:r>
        <w:rPr>
          <w:rFonts w:cs="Arial"/>
        </w:rPr>
        <w:t xml:space="preserve">Relocation of three </w:t>
      </w:r>
      <w:r w:rsidR="00E35E86">
        <w:rPr>
          <w:rFonts w:cs="Arial"/>
        </w:rPr>
        <w:t xml:space="preserve">approved </w:t>
      </w:r>
      <w:r>
        <w:rPr>
          <w:rFonts w:cs="Arial"/>
        </w:rPr>
        <w:t>skylights on the roof of the southern grandstand</w:t>
      </w:r>
    </w:p>
    <w:p w14:paraId="594476BA" w14:textId="77777777" w:rsidR="00124951" w:rsidRDefault="00124951" w:rsidP="007E6FAE">
      <w:pPr>
        <w:rPr>
          <w:rFonts w:cs="Arial"/>
          <w:u w:val="single"/>
        </w:rPr>
      </w:pPr>
    </w:p>
    <w:p w14:paraId="39E84C5B" w14:textId="7363DDE4" w:rsidR="007E6FAE" w:rsidRPr="008717F9" w:rsidRDefault="007E6FAE" w:rsidP="007E6FAE">
      <w:pPr>
        <w:rPr>
          <w:rFonts w:cs="Arial"/>
          <w:i/>
          <w:u w:val="single"/>
        </w:rPr>
      </w:pPr>
      <w:r w:rsidRPr="008717F9">
        <w:rPr>
          <w:rFonts w:cs="Arial"/>
          <w:u w:val="single"/>
        </w:rPr>
        <w:lastRenderedPageBreak/>
        <w:t xml:space="preserve">National Parks and Wildlife Act 1974 </w:t>
      </w:r>
    </w:p>
    <w:p w14:paraId="1FC621BE" w14:textId="77777777" w:rsidR="007E6FAE" w:rsidRPr="008717F9" w:rsidRDefault="007E6FAE" w:rsidP="007E6FAE">
      <w:pPr>
        <w:rPr>
          <w:rFonts w:cs="Arial"/>
          <w:u w:val="single"/>
        </w:rPr>
      </w:pPr>
    </w:p>
    <w:tbl>
      <w:tblPr>
        <w:tblStyle w:val="TableGrid"/>
        <w:tblW w:w="0" w:type="auto"/>
        <w:tblLook w:val="04A0" w:firstRow="1" w:lastRow="0" w:firstColumn="1" w:lastColumn="0" w:noHBand="0" w:noVBand="1"/>
      </w:tblPr>
      <w:tblGrid>
        <w:gridCol w:w="9854"/>
      </w:tblGrid>
      <w:tr w:rsidR="007E6FAE" w:rsidRPr="008717F9" w14:paraId="6ECEB68E" w14:textId="77777777" w:rsidTr="00E47D3C">
        <w:tc>
          <w:tcPr>
            <w:tcW w:w="9854" w:type="dxa"/>
          </w:tcPr>
          <w:p w14:paraId="0F0931F8" w14:textId="509954E3" w:rsidR="007E6FAE" w:rsidRPr="008717F9" w:rsidRDefault="007E6FAE" w:rsidP="004A6F97">
            <w:pPr>
              <w:rPr>
                <w:rFonts w:cs="Arial"/>
              </w:rPr>
            </w:pPr>
            <w:r w:rsidRPr="008717F9">
              <w:rPr>
                <w:rFonts w:cs="Arial"/>
              </w:rPr>
              <w:t xml:space="preserve">The site is in an area of </w:t>
            </w:r>
            <w:r w:rsidR="00B81EFB" w:rsidRPr="008717F9">
              <w:rPr>
                <w:rFonts w:cs="Arial"/>
              </w:rPr>
              <w:t>No</w:t>
            </w:r>
            <w:r w:rsidRPr="008717F9">
              <w:rPr>
                <w:rFonts w:cs="Arial"/>
              </w:rPr>
              <w:t xml:space="preserve"> Aboriginal Heritage Sensitivity. Therefore, an Aboriginal Heritage Impact Assessment was </w:t>
            </w:r>
            <w:r w:rsidR="00B81EFB" w:rsidRPr="008717F9">
              <w:rPr>
                <w:rFonts w:cs="Arial"/>
              </w:rPr>
              <w:t xml:space="preserve">not </w:t>
            </w:r>
            <w:r w:rsidRPr="008717F9">
              <w:rPr>
                <w:rFonts w:cs="Arial"/>
              </w:rPr>
              <w:t xml:space="preserve">required as part of the </w:t>
            </w:r>
            <w:r w:rsidR="00B81EFB" w:rsidRPr="008717F9">
              <w:rPr>
                <w:rFonts w:cs="Arial"/>
              </w:rPr>
              <w:t xml:space="preserve">S4.55 Application </w:t>
            </w:r>
            <w:r w:rsidRPr="008717F9">
              <w:rPr>
                <w:rFonts w:cs="Arial"/>
              </w:rPr>
              <w:t>to ascertain whether potential Aboriginal cultural heritage will be impacted by the proposal.</w:t>
            </w:r>
            <w:r w:rsidR="00B81EFB" w:rsidRPr="008717F9">
              <w:rPr>
                <w:rFonts w:cs="Arial"/>
              </w:rPr>
              <w:t xml:space="preserve"> In addition, the proposed modifications would not include any excavation</w:t>
            </w:r>
            <w:r w:rsidR="00E35E86">
              <w:rPr>
                <w:rFonts w:cs="Arial"/>
              </w:rPr>
              <w:t xml:space="preserve"> works</w:t>
            </w:r>
            <w:r w:rsidR="00B81EFB" w:rsidRPr="008717F9">
              <w:rPr>
                <w:rFonts w:cs="Arial"/>
              </w:rPr>
              <w:t xml:space="preserve">. As a result, no Aboriginal Heritage Conditions of Consent would be required. </w:t>
            </w:r>
            <w:r w:rsidRPr="008717F9">
              <w:rPr>
                <w:rFonts w:cs="Arial"/>
                <w:color w:val="000000"/>
                <w:highlight w:val="yellow"/>
                <w:lang w:val="en"/>
              </w:rPr>
              <w:t xml:space="preserve"> </w:t>
            </w:r>
          </w:p>
        </w:tc>
      </w:tr>
    </w:tbl>
    <w:p w14:paraId="0B3E6006" w14:textId="77777777" w:rsidR="007E6FAE" w:rsidRPr="008717F9" w:rsidRDefault="007E6FAE" w:rsidP="007E6FAE">
      <w:pPr>
        <w:rPr>
          <w:rFonts w:cs="Arial"/>
          <w:color w:val="FF0000"/>
          <w:sz w:val="20"/>
        </w:rPr>
      </w:pPr>
    </w:p>
    <w:p w14:paraId="72F67229" w14:textId="77777777" w:rsidR="00801608" w:rsidRPr="008717F9" w:rsidRDefault="007E6FAE" w:rsidP="00801608">
      <w:pPr>
        <w:rPr>
          <w:rFonts w:cs="Arial"/>
          <w:u w:val="single"/>
        </w:rPr>
      </w:pPr>
      <w:r w:rsidRPr="008717F9">
        <w:rPr>
          <w:rFonts w:cs="Arial"/>
          <w:u w:val="single"/>
        </w:rPr>
        <w:t xml:space="preserve">Woollahra LEP 2014 </w:t>
      </w:r>
      <w:r w:rsidR="00801608" w:rsidRPr="008717F9">
        <w:rPr>
          <w:rFonts w:cs="Arial"/>
          <w:u w:val="single"/>
        </w:rPr>
        <w:t>Clause 5.10 Heritage Conservation</w:t>
      </w:r>
    </w:p>
    <w:p w14:paraId="738680A2" w14:textId="77777777" w:rsidR="007E6FAE" w:rsidRPr="008717F9" w:rsidRDefault="007E6FAE" w:rsidP="007E6FAE">
      <w:pPr>
        <w:rPr>
          <w:rFonts w:cs="Arial"/>
          <w:i/>
        </w:rPr>
      </w:pPr>
    </w:p>
    <w:p w14:paraId="0511206A" w14:textId="139EF5E9" w:rsidR="008717F9" w:rsidRPr="008717F9" w:rsidRDefault="004A6F97" w:rsidP="007E6FAE">
      <w:pPr>
        <w:autoSpaceDE w:val="0"/>
        <w:autoSpaceDN w:val="0"/>
        <w:adjustRightInd w:val="0"/>
        <w:spacing w:line="240" w:lineRule="atLeast"/>
        <w:rPr>
          <w:rFonts w:cs="Arial"/>
          <w:color w:val="000000"/>
          <w:szCs w:val="24"/>
          <w:lang w:val="en-US"/>
        </w:rPr>
      </w:pPr>
      <w:r w:rsidRPr="008717F9">
        <w:rPr>
          <w:rFonts w:cs="Arial"/>
          <w:color w:val="000000"/>
          <w:szCs w:val="24"/>
          <w:lang w:val="en-US"/>
        </w:rPr>
        <w:t xml:space="preserve">The subject site </w:t>
      </w:r>
      <w:r w:rsidR="007E6FAE" w:rsidRPr="008717F9">
        <w:rPr>
          <w:rFonts w:cs="Arial"/>
          <w:color w:val="000000"/>
          <w:szCs w:val="24"/>
          <w:lang w:val="en-US"/>
        </w:rPr>
        <w:t>is not a heritage item in Woollahra Local Environment Plan 2014 ‘the LEP’ and is within a heritage conservation area.</w:t>
      </w:r>
    </w:p>
    <w:p w14:paraId="7D1542B8" w14:textId="77777777" w:rsidR="00801608" w:rsidRPr="008717F9" w:rsidRDefault="00801608" w:rsidP="007E6FAE">
      <w:pPr>
        <w:rPr>
          <w:rFonts w:cs="Arial"/>
          <w:i/>
          <w:szCs w:val="22"/>
        </w:rPr>
      </w:pPr>
    </w:p>
    <w:p w14:paraId="33AD803C" w14:textId="77777777" w:rsidR="007E6FAE" w:rsidRPr="008717F9" w:rsidRDefault="007E6FAE" w:rsidP="007E6FAE">
      <w:pPr>
        <w:rPr>
          <w:rFonts w:cs="Arial"/>
          <w:i/>
          <w:szCs w:val="22"/>
        </w:rPr>
      </w:pPr>
      <w:r w:rsidRPr="008717F9">
        <w:rPr>
          <w:rFonts w:cs="Arial"/>
          <w:i/>
          <w:szCs w:val="22"/>
        </w:rPr>
        <w:t>Significance of items in the vicinity</w:t>
      </w:r>
    </w:p>
    <w:p w14:paraId="221D4D26" w14:textId="77777777" w:rsidR="007E6FAE" w:rsidRPr="008717F9" w:rsidRDefault="007E6FAE" w:rsidP="007E6FAE">
      <w:pPr>
        <w:rPr>
          <w:rFonts w:cs="Arial"/>
          <w:szCs w:val="22"/>
        </w:rPr>
      </w:pPr>
    </w:p>
    <w:p w14:paraId="59256BFE" w14:textId="77777777" w:rsidR="007E6FAE" w:rsidRPr="008B0CC7" w:rsidRDefault="007E6FAE" w:rsidP="007E6FAE">
      <w:pPr>
        <w:rPr>
          <w:rFonts w:cs="Arial"/>
        </w:rPr>
      </w:pPr>
      <w:r w:rsidRPr="008B0CC7">
        <w:rPr>
          <w:rFonts w:cs="Arial"/>
        </w:rPr>
        <w:t>The</w:t>
      </w:r>
      <w:r w:rsidR="00801608" w:rsidRPr="008B0CC7">
        <w:rPr>
          <w:rFonts w:cs="Arial"/>
        </w:rPr>
        <w:t xml:space="preserve"> following listed heritage item is </w:t>
      </w:r>
      <w:r w:rsidRPr="008B0CC7">
        <w:rPr>
          <w:rFonts w:cs="Arial"/>
        </w:rPr>
        <w:t xml:space="preserve"> located in proximity of the site</w:t>
      </w:r>
      <w:r w:rsidR="00801608" w:rsidRPr="008B0CC7">
        <w:rPr>
          <w:rFonts w:cs="Arial"/>
        </w:rPr>
        <w:t>:</w:t>
      </w:r>
    </w:p>
    <w:p w14:paraId="0BACCA2A" w14:textId="71CFE901" w:rsidR="007E6FAE" w:rsidRPr="008B0CC7" w:rsidRDefault="007E6FAE" w:rsidP="00401641">
      <w:pPr>
        <w:pStyle w:val="ListParagraph"/>
        <w:numPr>
          <w:ilvl w:val="0"/>
          <w:numId w:val="5"/>
        </w:numPr>
        <w:rPr>
          <w:rFonts w:cs="Arial"/>
          <w:szCs w:val="22"/>
        </w:rPr>
      </w:pPr>
      <w:r w:rsidRPr="008B0CC7">
        <w:rPr>
          <w:rFonts w:cs="Arial"/>
          <w:szCs w:val="22"/>
        </w:rPr>
        <w:t>‘</w:t>
      </w:r>
      <w:r w:rsidR="008B0CC7" w:rsidRPr="008B0CC7">
        <w:rPr>
          <w:rFonts w:cs="Arial"/>
          <w:szCs w:val="22"/>
        </w:rPr>
        <w:t>7 Canary Island Date Palms’ at Alma Street (within road reserve),</w:t>
      </w:r>
      <w:r w:rsidR="00E35E86">
        <w:rPr>
          <w:rFonts w:cs="Arial"/>
          <w:szCs w:val="22"/>
        </w:rPr>
        <w:t xml:space="preserve"> </w:t>
      </w:r>
      <w:r w:rsidR="008B0CC7" w:rsidRPr="008B0CC7">
        <w:rPr>
          <w:rFonts w:cs="Arial"/>
          <w:szCs w:val="22"/>
        </w:rPr>
        <w:t xml:space="preserve">Paddington (Item No. 243) </w:t>
      </w:r>
    </w:p>
    <w:p w14:paraId="7ED46D65" w14:textId="4EA73D87" w:rsidR="007E6FAE" w:rsidRDefault="007E6FAE" w:rsidP="00E35E86">
      <w:pPr>
        <w:rPr>
          <w:rFonts w:cs="Arial"/>
          <w:szCs w:val="22"/>
        </w:rPr>
      </w:pPr>
    </w:p>
    <w:p w14:paraId="00F03EDC" w14:textId="0B4BD535" w:rsidR="00E35E86" w:rsidRPr="00E35E86" w:rsidRDefault="00E35E86" w:rsidP="00E35E86">
      <w:pPr>
        <w:rPr>
          <w:rFonts w:cs="Arial"/>
          <w:b/>
          <w:szCs w:val="22"/>
        </w:rPr>
      </w:pPr>
      <w:r w:rsidRPr="00E35E86">
        <w:rPr>
          <w:rFonts w:cs="Arial"/>
          <w:b/>
          <w:szCs w:val="22"/>
        </w:rPr>
        <w:t>Consideration</w:t>
      </w:r>
    </w:p>
    <w:p w14:paraId="3675A81D" w14:textId="11CF6C62" w:rsidR="007E6FAE" w:rsidRPr="008B0CC7" w:rsidRDefault="008B0CC7" w:rsidP="007E6FAE">
      <w:pPr>
        <w:pBdr>
          <w:top w:val="single" w:sz="4" w:space="1" w:color="auto"/>
          <w:left w:val="single" w:sz="4" w:space="4" w:color="auto"/>
          <w:bottom w:val="single" w:sz="4" w:space="1" w:color="auto"/>
          <w:right w:val="single" w:sz="4" w:space="4" w:color="auto"/>
        </w:pBdr>
        <w:rPr>
          <w:rFonts w:cs="Arial"/>
          <w:szCs w:val="22"/>
        </w:rPr>
      </w:pPr>
      <w:r w:rsidRPr="008B0CC7">
        <w:rPr>
          <w:rFonts w:cs="Arial"/>
          <w:szCs w:val="22"/>
        </w:rPr>
        <w:t xml:space="preserve">The proposed modifications would generally be in keeping with the original approval and would therefore have no adverse impact on the heritage significance, setting, views and fabric of the heritage item in the vicinity. </w:t>
      </w:r>
    </w:p>
    <w:p w14:paraId="6990BE1C" w14:textId="0AB25223" w:rsidR="00FD6918" w:rsidRDefault="00FD6918" w:rsidP="00FD6918">
      <w:pPr>
        <w:autoSpaceDE w:val="0"/>
        <w:autoSpaceDN w:val="0"/>
        <w:adjustRightInd w:val="0"/>
        <w:spacing w:line="240" w:lineRule="atLeast"/>
        <w:rPr>
          <w:rFonts w:cs="Arial"/>
          <w:color w:val="000000"/>
          <w:szCs w:val="24"/>
          <w:highlight w:val="yellow"/>
          <w:lang w:val="en-US"/>
        </w:rPr>
      </w:pPr>
    </w:p>
    <w:p w14:paraId="7605C494" w14:textId="55FB3905" w:rsidR="00FD6918" w:rsidRPr="00FD6918" w:rsidRDefault="00494C7E" w:rsidP="00FD6918">
      <w:pPr>
        <w:rPr>
          <w:rFonts w:cs="Arial"/>
          <w:u w:val="single"/>
        </w:rPr>
      </w:pPr>
      <w:r>
        <w:rPr>
          <w:rFonts w:cs="Arial"/>
          <w:u w:val="single"/>
        </w:rPr>
        <w:t>Comparison of Heritage Impacts B</w:t>
      </w:r>
      <w:r w:rsidR="00FD6918" w:rsidRPr="00FD6918">
        <w:rPr>
          <w:rFonts w:cs="Arial"/>
          <w:u w:val="single"/>
        </w:rPr>
        <w:t xml:space="preserve">etween the </w:t>
      </w:r>
      <w:r>
        <w:rPr>
          <w:rFonts w:cs="Arial"/>
          <w:u w:val="single"/>
        </w:rPr>
        <w:t>Original A</w:t>
      </w:r>
      <w:r w:rsidR="008B0CC7">
        <w:rPr>
          <w:rFonts w:cs="Arial"/>
          <w:u w:val="single"/>
        </w:rPr>
        <w:t>pproval (DA2019/477/1)</w:t>
      </w:r>
      <w:r>
        <w:rPr>
          <w:rFonts w:cs="Arial"/>
          <w:u w:val="single"/>
        </w:rPr>
        <w:t xml:space="preserve"> and the C</w:t>
      </w:r>
      <w:r w:rsidR="00FD6918" w:rsidRPr="00FD6918">
        <w:rPr>
          <w:rFonts w:cs="Arial"/>
          <w:u w:val="single"/>
        </w:rPr>
        <w:t xml:space="preserve">urrent </w:t>
      </w:r>
      <w:r w:rsidR="008B0CC7">
        <w:rPr>
          <w:rFonts w:cs="Arial"/>
          <w:u w:val="single"/>
        </w:rPr>
        <w:t xml:space="preserve">S4.55 </w:t>
      </w:r>
      <w:r>
        <w:rPr>
          <w:rFonts w:cs="Arial"/>
          <w:u w:val="single"/>
        </w:rPr>
        <w:t>P</w:t>
      </w:r>
      <w:r w:rsidR="00FD6918" w:rsidRPr="00FD6918">
        <w:rPr>
          <w:rFonts w:cs="Arial"/>
          <w:u w:val="single"/>
        </w:rPr>
        <w:t>roposal</w:t>
      </w:r>
    </w:p>
    <w:p w14:paraId="2D56D6B3" w14:textId="77777777" w:rsidR="00FD6918" w:rsidRPr="008B0CC7" w:rsidRDefault="00FD6918" w:rsidP="00FD6918">
      <w:pPr>
        <w:autoSpaceDE w:val="0"/>
        <w:autoSpaceDN w:val="0"/>
        <w:adjustRightInd w:val="0"/>
        <w:spacing w:line="240" w:lineRule="atLeast"/>
        <w:rPr>
          <w:rFonts w:cs="Arial"/>
          <w:color w:val="000000"/>
          <w:szCs w:val="24"/>
          <w:lang w:val="en-US"/>
        </w:rPr>
      </w:pPr>
    </w:p>
    <w:p w14:paraId="5B5B6E2B" w14:textId="382867B6" w:rsidR="00FD6918" w:rsidRPr="008717F9" w:rsidRDefault="00FD6918" w:rsidP="00FD6918">
      <w:pPr>
        <w:autoSpaceDE w:val="0"/>
        <w:autoSpaceDN w:val="0"/>
        <w:adjustRightInd w:val="0"/>
        <w:spacing w:line="240" w:lineRule="atLeast"/>
        <w:rPr>
          <w:rFonts w:cs="Arial"/>
          <w:color w:val="000000"/>
          <w:szCs w:val="24"/>
          <w:lang w:val="en-US"/>
        </w:rPr>
      </w:pPr>
      <w:r w:rsidRPr="008B0CC7">
        <w:rPr>
          <w:rFonts w:cs="Arial"/>
          <w:color w:val="000000"/>
          <w:szCs w:val="24"/>
          <w:lang w:val="en-US"/>
        </w:rPr>
        <w:t xml:space="preserve">The following table compares the current proposal with the </w:t>
      </w:r>
      <w:r w:rsidR="008B0CC7" w:rsidRPr="008B0CC7">
        <w:rPr>
          <w:rFonts w:cs="Arial"/>
          <w:color w:val="000000"/>
          <w:szCs w:val="24"/>
          <w:lang w:val="en-US"/>
        </w:rPr>
        <w:t xml:space="preserve">original </w:t>
      </w:r>
      <w:r w:rsidRPr="008B0CC7">
        <w:rPr>
          <w:rFonts w:cs="Arial"/>
          <w:color w:val="000000"/>
          <w:szCs w:val="24"/>
          <w:lang w:val="en-US"/>
        </w:rPr>
        <w:t xml:space="preserve">approval by the Joint Regional Planning Panel and assesses impact on </w:t>
      </w:r>
      <w:r w:rsidR="00494C7E">
        <w:rPr>
          <w:rFonts w:cs="Arial"/>
          <w:color w:val="000000"/>
          <w:szCs w:val="24"/>
          <w:lang w:val="en-US"/>
        </w:rPr>
        <w:t xml:space="preserve">the identified </w:t>
      </w:r>
      <w:r w:rsidRPr="008B0CC7">
        <w:rPr>
          <w:rFonts w:cs="Arial"/>
          <w:color w:val="000000"/>
          <w:szCs w:val="24"/>
          <w:lang w:val="en-US"/>
        </w:rPr>
        <w:t xml:space="preserve">contributory </w:t>
      </w:r>
      <w:r w:rsidR="00494C7E">
        <w:rPr>
          <w:rFonts w:cs="Arial"/>
          <w:color w:val="000000"/>
          <w:szCs w:val="24"/>
          <w:lang w:val="en-US"/>
        </w:rPr>
        <w:t>e</w:t>
      </w:r>
      <w:r w:rsidR="00E35E86">
        <w:rPr>
          <w:rFonts w:cs="Arial"/>
          <w:color w:val="000000"/>
          <w:szCs w:val="24"/>
          <w:lang w:val="en-US"/>
        </w:rPr>
        <w:t>lements at the site</w:t>
      </w:r>
      <w:r w:rsidR="00494C7E">
        <w:rPr>
          <w:rFonts w:cs="Arial"/>
          <w:color w:val="000000"/>
          <w:szCs w:val="24"/>
          <w:lang w:val="en-US"/>
        </w:rPr>
        <w:t>.</w:t>
      </w:r>
    </w:p>
    <w:p w14:paraId="5D9E5DA2" w14:textId="77777777" w:rsidR="00FD6918" w:rsidRPr="008717F9" w:rsidRDefault="00FD6918" w:rsidP="00FD6918">
      <w:pPr>
        <w:autoSpaceDE w:val="0"/>
        <w:autoSpaceDN w:val="0"/>
        <w:adjustRightInd w:val="0"/>
        <w:spacing w:line="240" w:lineRule="atLeast"/>
        <w:rPr>
          <w:rFonts w:cs="Arial"/>
          <w:color w:val="000000"/>
          <w:szCs w:val="24"/>
          <w:lang w:val="en-US"/>
        </w:rPr>
      </w:pPr>
    </w:p>
    <w:tbl>
      <w:tblPr>
        <w:tblStyle w:val="TableGrid"/>
        <w:tblW w:w="0" w:type="auto"/>
        <w:tblLook w:val="04A0" w:firstRow="1" w:lastRow="0" w:firstColumn="1" w:lastColumn="0" w:noHBand="0" w:noVBand="1"/>
      </w:tblPr>
      <w:tblGrid>
        <w:gridCol w:w="388"/>
        <w:gridCol w:w="1550"/>
        <w:gridCol w:w="2565"/>
        <w:gridCol w:w="3543"/>
        <w:gridCol w:w="1808"/>
      </w:tblGrid>
      <w:tr w:rsidR="00FD6918" w:rsidRPr="008717F9" w14:paraId="0B577C12" w14:textId="77777777" w:rsidTr="00E35E86">
        <w:trPr>
          <w:tblHeader/>
        </w:trPr>
        <w:tc>
          <w:tcPr>
            <w:tcW w:w="1938" w:type="dxa"/>
            <w:gridSpan w:val="2"/>
            <w:shd w:val="clear" w:color="auto" w:fill="F2F2F2" w:themeFill="background1" w:themeFillShade="F2"/>
          </w:tcPr>
          <w:p w14:paraId="1F7AECEA" w14:textId="0B901DC1" w:rsidR="00FD6918" w:rsidRPr="008717F9" w:rsidRDefault="00494C7E" w:rsidP="004C3C91">
            <w:pPr>
              <w:pStyle w:val="ListParagraph"/>
              <w:autoSpaceDE w:val="0"/>
              <w:autoSpaceDN w:val="0"/>
              <w:adjustRightInd w:val="0"/>
              <w:spacing w:line="240" w:lineRule="atLeast"/>
              <w:ind w:left="0"/>
              <w:rPr>
                <w:rFonts w:cs="Arial"/>
                <w:b/>
                <w:color w:val="000000"/>
                <w:szCs w:val="24"/>
                <w:lang w:val="en-US"/>
              </w:rPr>
            </w:pPr>
            <w:r>
              <w:rPr>
                <w:rFonts w:cs="Arial"/>
                <w:b/>
                <w:color w:val="000000"/>
                <w:szCs w:val="24"/>
                <w:lang w:val="en-US"/>
              </w:rPr>
              <w:t>Contributory Element</w:t>
            </w:r>
          </w:p>
        </w:tc>
        <w:tc>
          <w:tcPr>
            <w:tcW w:w="2565" w:type="dxa"/>
            <w:shd w:val="clear" w:color="auto" w:fill="F2F2F2" w:themeFill="background1" w:themeFillShade="F2"/>
          </w:tcPr>
          <w:p w14:paraId="49DF9769" w14:textId="77777777" w:rsidR="00FD6918" w:rsidRPr="008717F9" w:rsidRDefault="00FD6918" w:rsidP="004C3C91">
            <w:pPr>
              <w:autoSpaceDE w:val="0"/>
              <w:autoSpaceDN w:val="0"/>
              <w:adjustRightInd w:val="0"/>
              <w:spacing w:line="240" w:lineRule="atLeast"/>
              <w:rPr>
                <w:rFonts w:cs="Arial"/>
                <w:color w:val="000000"/>
                <w:szCs w:val="24"/>
                <w:lang w:val="en-US"/>
              </w:rPr>
            </w:pPr>
            <w:r>
              <w:rPr>
                <w:rFonts w:cs="Arial"/>
                <w:b/>
                <w:color w:val="000000"/>
                <w:szCs w:val="24"/>
                <w:lang w:val="en-US"/>
              </w:rPr>
              <w:t>DA2019/477/1</w:t>
            </w:r>
          </w:p>
        </w:tc>
        <w:tc>
          <w:tcPr>
            <w:tcW w:w="3543" w:type="dxa"/>
            <w:shd w:val="clear" w:color="auto" w:fill="F2F2F2" w:themeFill="background1" w:themeFillShade="F2"/>
          </w:tcPr>
          <w:p w14:paraId="21C07F26" w14:textId="77777777" w:rsidR="00FD6918" w:rsidRPr="008717F9" w:rsidRDefault="00FD6918" w:rsidP="004C3C91">
            <w:pPr>
              <w:autoSpaceDE w:val="0"/>
              <w:autoSpaceDN w:val="0"/>
              <w:adjustRightInd w:val="0"/>
              <w:spacing w:line="240" w:lineRule="atLeast"/>
              <w:rPr>
                <w:rFonts w:cs="Arial"/>
                <w:color w:val="000000"/>
                <w:szCs w:val="24"/>
                <w:lang w:val="en-US"/>
              </w:rPr>
            </w:pPr>
            <w:r w:rsidRPr="008717F9">
              <w:rPr>
                <w:rFonts w:cs="Arial"/>
                <w:b/>
                <w:color w:val="000000"/>
                <w:szCs w:val="24"/>
                <w:lang w:val="en-US"/>
              </w:rPr>
              <w:t xml:space="preserve">Current </w:t>
            </w:r>
            <w:r>
              <w:rPr>
                <w:rFonts w:cs="Arial"/>
                <w:b/>
                <w:color w:val="000000"/>
                <w:szCs w:val="24"/>
                <w:lang w:val="en-US"/>
              </w:rPr>
              <w:t>S4.55 Application</w:t>
            </w:r>
          </w:p>
        </w:tc>
        <w:tc>
          <w:tcPr>
            <w:tcW w:w="1808" w:type="dxa"/>
            <w:shd w:val="clear" w:color="auto" w:fill="F2F2F2" w:themeFill="background1" w:themeFillShade="F2"/>
          </w:tcPr>
          <w:p w14:paraId="70DA8CC6" w14:textId="77777777" w:rsidR="00FD6918" w:rsidRPr="008717F9" w:rsidRDefault="00FD6918" w:rsidP="004C3C91">
            <w:pPr>
              <w:autoSpaceDE w:val="0"/>
              <w:autoSpaceDN w:val="0"/>
              <w:adjustRightInd w:val="0"/>
              <w:spacing w:line="240" w:lineRule="atLeast"/>
              <w:rPr>
                <w:rFonts w:cs="Arial"/>
                <w:color w:val="000000"/>
                <w:szCs w:val="24"/>
                <w:lang w:val="en-US"/>
              </w:rPr>
            </w:pPr>
            <w:r w:rsidRPr="008717F9">
              <w:rPr>
                <w:rFonts w:cs="Arial"/>
                <w:b/>
                <w:color w:val="000000"/>
                <w:szCs w:val="24"/>
                <w:lang w:val="en-US"/>
              </w:rPr>
              <w:t>Impact</w:t>
            </w:r>
          </w:p>
        </w:tc>
      </w:tr>
      <w:tr w:rsidR="00FD6918" w:rsidRPr="008717F9" w14:paraId="6064A082" w14:textId="77777777" w:rsidTr="00E35E86">
        <w:tc>
          <w:tcPr>
            <w:tcW w:w="388" w:type="dxa"/>
          </w:tcPr>
          <w:p w14:paraId="363F86FF" w14:textId="77777777" w:rsidR="00FD6918" w:rsidRPr="008717F9" w:rsidRDefault="00FD6918" w:rsidP="004C3C91">
            <w:pPr>
              <w:autoSpaceDE w:val="0"/>
              <w:autoSpaceDN w:val="0"/>
              <w:adjustRightInd w:val="0"/>
              <w:spacing w:line="240" w:lineRule="atLeast"/>
              <w:rPr>
                <w:rFonts w:cs="Arial"/>
                <w:b/>
                <w:color w:val="000000"/>
                <w:szCs w:val="24"/>
                <w:lang w:val="en-US"/>
              </w:rPr>
            </w:pPr>
            <w:r w:rsidRPr="008717F9">
              <w:rPr>
                <w:rFonts w:cs="Arial"/>
                <w:b/>
                <w:color w:val="000000"/>
                <w:szCs w:val="24"/>
                <w:lang w:val="en-US"/>
              </w:rPr>
              <w:t>1</w:t>
            </w:r>
          </w:p>
        </w:tc>
        <w:tc>
          <w:tcPr>
            <w:tcW w:w="1550" w:type="dxa"/>
          </w:tcPr>
          <w:p w14:paraId="3E2AB0EA" w14:textId="77777777" w:rsidR="00FD6918" w:rsidRPr="008717F9" w:rsidRDefault="00FD6918" w:rsidP="004C3C91">
            <w:pPr>
              <w:autoSpaceDE w:val="0"/>
              <w:autoSpaceDN w:val="0"/>
              <w:adjustRightInd w:val="0"/>
              <w:spacing w:line="240" w:lineRule="atLeast"/>
              <w:rPr>
                <w:rFonts w:cs="Arial"/>
                <w:b/>
                <w:color w:val="000000"/>
                <w:szCs w:val="24"/>
                <w:lang w:val="en-US"/>
              </w:rPr>
            </w:pPr>
            <w:r w:rsidRPr="008717F9">
              <w:rPr>
                <w:rFonts w:cs="Arial"/>
                <w:b/>
                <w:color w:val="000000"/>
                <w:szCs w:val="24"/>
                <w:lang w:val="en-US"/>
              </w:rPr>
              <w:t>Southern Grandstand (1923)</w:t>
            </w:r>
          </w:p>
        </w:tc>
        <w:tc>
          <w:tcPr>
            <w:tcW w:w="2565" w:type="dxa"/>
          </w:tcPr>
          <w:p w14:paraId="06D1D767" w14:textId="357302B9" w:rsidR="00FD6918" w:rsidRPr="008717F9" w:rsidRDefault="00FD6918" w:rsidP="008B0CC7">
            <w:pPr>
              <w:autoSpaceDE w:val="0"/>
              <w:autoSpaceDN w:val="0"/>
              <w:adjustRightInd w:val="0"/>
              <w:spacing w:line="240" w:lineRule="atLeast"/>
              <w:rPr>
                <w:rFonts w:cs="Arial"/>
                <w:color w:val="000000"/>
                <w:szCs w:val="24"/>
                <w:highlight w:val="yellow"/>
                <w:lang w:val="en-US"/>
              </w:rPr>
            </w:pPr>
            <w:r w:rsidRPr="008B0CC7">
              <w:rPr>
                <w:rFonts w:cs="Arial"/>
                <w:color w:val="000000"/>
                <w:szCs w:val="24"/>
                <w:lang w:val="en-US"/>
              </w:rPr>
              <w:t xml:space="preserve">Proposed to be adaptively reused, </w:t>
            </w:r>
            <w:r w:rsidR="008B0CC7" w:rsidRPr="008B0CC7">
              <w:rPr>
                <w:rFonts w:cs="Arial"/>
                <w:color w:val="000000"/>
                <w:szCs w:val="24"/>
                <w:lang w:val="en-US"/>
              </w:rPr>
              <w:t>with the majority of the southern stands existing structure to remain where possible to retain the historical presence of the original southern stand. The external appearances along Glenmore Road will largely be retained.</w:t>
            </w:r>
          </w:p>
        </w:tc>
        <w:tc>
          <w:tcPr>
            <w:tcW w:w="3543" w:type="dxa"/>
          </w:tcPr>
          <w:p w14:paraId="48577D01" w14:textId="1EE9EA0B" w:rsidR="00FD6918" w:rsidRDefault="007927AE" w:rsidP="007927AE">
            <w:pPr>
              <w:autoSpaceDE w:val="0"/>
              <w:autoSpaceDN w:val="0"/>
              <w:adjustRightInd w:val="0"/>
              <w:spacing w:line="240" w:lineRule="atLeast"/>
              <w:rPr>
                <w:rFonts w:cs="Arial"/>
                <w:color w:val="000000"/>
                <w:szCs w:val="24"/>
                <w:lang w:val="en-US"/>
              </w:rPr>
            </w:pPr>
            <w:r w:rsidRPr="007927AE">
              <w:rPr>
                <w:rFonts w:cs="Arial"/>
                <w:color w:val="000000"/>
                <w:szCs w:val="24"/>
                <w:lang w:val="en-US"/>
              </w:rPr>
              <w:t xml:space="preserve">The current application includes modifications to the approved materiality of the proposed new grandstand. The new materiality would be a mixture of contemporary and traditional materiality in a neutral colour scheme.  </w:t>
            </w:r>
          </w:p>
          <w:p w14:paraId="0EC47DDE" w14:textId="47ADACB7" w:rsidR="007927AE" w:rsidRDefault="007927AE" w:rsidP="007927AE">
            <w:pPr>
              <w:autoSpaceDE w:val="0"/>
              <w:autoSpaceDN w:val="0"/>
              <w:adjustRightInd w:val="0"/>
              <w:spacing w:line="240" w:lineRule="atLeast"/>
              <w:rPr>
                <w:rFonts w:cs="Arial"/>
                <w:color w:val="000000"/>
                <w:szCs w:val="24"/>
                <w:lang w:val="en-US"/>
              </w:rPr>
            </w:pPr>
          </w:p>
          <w:p w14:paraId="3B414E74" w14:textId="42F74328" w:rsidR="007927AE" w:rsidRPr="00E35E86" w:rsidRDefault="007927AE" w:rsidP="007927AE">
            <w:pPr>
              <w:autoSpaceDE w:val="0"/>
              <w:autoSpaceDN w:val="0"/>
              <w:adjustRightInd w:val="0"/>
              <w:spacing w:line="240" w:lineRule="atLeast"/>
              <w:rPr>
                <w:rFonts w:cs="Arial"/>
                <w:color w:val="000000"/>
                <w:szCs w:val="24"/>
                <w:lang w:val="en-US"/>
              </w:rPr>
            </w:pPr>
            <w:r>
              <w:rPr>
                <w:rFonts w:cs="Arial"/>
                <w:color w:val="000000"/>
                <w:szCs w:val="24"/>
                <w:lang w:val="en-US"/>
              </w:rPr>
              <w:t>New entry gate along Glenmore Road. The new gate is in keeping with the approved development in terms of design and materiality.</w:t>
            </w:r>
          </w:p>
        </w:tc>
        <w:tc>
          <w:tcPr>
            <w:tcW w:w="1808" w:type="dxa"/>
          </w:tcPr>
          <w:p w14:paraId="536B8F48" w14:textId="3CDFBCF7" w:rsidR="00FD6918" w:rsidRPr="008717F9" w:rsidRDefault="00FD6918" w:rsidP="007927AE">
            <w:pPr>
              <w:autoSpaceDE w:val="0"/>
              <w:autoSpaceDN w:val="0"/>
              <w:adjustRightInd w:val="0"/>
              <w:spacing w:line="240" w:lineRule="atLeast"/>
              <w:rPr>
                <w:rFonts w:cs="Arial"/>
                <w:color w:val="000000"/>
                <w:szCs w:val="24"/>
                <w:highlight w:val="yellow"/>
                <w:lang w:val="en-US"/>
              </w:rPr>
            </w:pPr>
            <w:r w:rsidRPr="007927AE">
              <w:rPr>
                <w:rFonts w:cs="Arial"/>
                <w:color w:val="000000"/>
                <w:szCs w:val="24"/>
                <w:lang w:val="en-US"/>
              </w:rPr>
              <w:t xml:space="preserve">No additional impact, </w:t>
            </w:r>
            <w:r w:rsidR="007927AE" w:rsidRPr="007927AE">
              <w:rPr>
                <w:rFonts w:cs="Arial"/>
                <w:color w:val="000000"/>
                <w:szCs w:val="24"/>
                <w:lang w:val="en-US"/>
              </w:rPr>
              <w:t xml:space="preserve">the works would be in keeping with the original approval. </w:t>
            </w:r>
          </w:p>
        </w:tc>
      </w:tr>
      <w:tr w:rsidR="00FD6918" w:rsidRPr="008717F9" w14:paraId="061B4AC5" w14:textId="77777777" w:rsidTr="00E35E86">
        <w:tc>
          <w:tcPr>
            <w:tcW w:w="388" w:type="dxa"/>
          </w:tcPr>
          <w:p w14:paraId="0F6E95E3" w14:textId="77777777" w:rsidR="00FD6918" w:rsidRPr="008717F9" w:rsidRDefault="00FD6918" w:rsidP="004C3C91">
            <w:pPr>
              <w:autoSpaceDE w:val="0"/>
              <w:autoSpaceDN w:val="0"/>
              <w:adjustRightInd w:val="0"/>
              <w:spacing w:line="240" w:lineRule="atLeast"/>
              <w:rPr>
                <w:rFonts w:cs="Arial"/>
                <w:b/>
                <w:color w:val="000000"/>
                <w:szCs w:val="24"/>
                <w:lang w:val="en-US"/>
              </w:rPr>
            </w:pPr>
            <w:r w:rsidRPr="008717F9">
              <w:rPr>
                <w:rFonts w:cs="Arial"/>
                <w:b/>
                <w:color w:val="000000"/>
                <w:szCs w:val="24"/>
                <w:lang w:val="en-US"/>
              </w:rPr>
              <w:t>2</w:t>
            </w:r>
          </w:p>
        </w:tc>
        <w:tc>
          <w:tcPr>
            <w:tcW w:w="1550" w:type="dxa"/>
          </w:tcPr>
          <w:p w14:paraId="2078E635" w14:textId="77777777" w:rsidR="00FD6918" w:rsidRPr="008717F9" w:rsidRDefault="00FD6918" w:rsidP="004C3C91">
            <w:pPr>
              <w:autoSpaceDE w:val="0"/>
              <w:autoSpaceDN w:val="0"/>
              <w:adjustRightInd w:val="0"/>
              <w:spacing w:line="240" w:lineRule="atLeast"/>
              <w:rPr>
                <w:rFonts w:cs="Arial"/>
                <w:b/>
                <w:color w:val="000000"/>
                <w:szCs w:val="24"/>
                <w:lang w:val="en-US"/>
              </w:rPr>
            </w:pPr>
            <w:r w:rsidRPr="008717F9">
              <w:rPr>
                <w:rFonts w:cs="Arial"/>
                <w:b/>
                <w:color w:val="000000"/>
                <w:szCs w:val="24"/>
                <w:lang w:val="en-US"/>
              </w:rPr>
              <w:t>Northern Grandstand (</w:t>
            </w:r>
            <w:r w:rsidRPr="008717F9">
              <w:rPr>
                <w:rFonts w:cs="Arial"/>
                <w:b/>
              </w:rPr>
              <w:t>‘Heritage Arches’ or ‘Wilkinson’s Arches’)</w:t>
            </w:r>
          </w:p>
        </w:tc>
        <w:tc>
          <w:tcPr>
            <w:tcW w:w="2565" w:type="dxa"/>
          </w:tcPr>
          <w:p w14:paraId="59243055" w14:textId="78F81F8A" w:rsidR="00FD6918" w:rsidRPr="00B76518" w:rsidRDefault="00FD6918" w:rsidP="00B76518">
            <w:pPr>
              <w:autoSpaceDE w:val="0"/>
              <w:autoSpaceDN w:val="0"/>
              <w:adjustRightInd w:val="0"/>
              <w:spacing w:line="240" w:lineRule="atLeast"/>
              <w:rPr>
                <w:rFonts w:cs="Arial"/>
                <w:color w:val="000000"/>
                <w:szCs w:val="24"/>
                <w:lang w:val="en-US"/>
              </w:rPr>
            </w:pPr>
            <w:r w:rsidRPr="00B76518">
              <w:rPr>
                <w:rFonts w:cs="Arial"/>
                <w:color w:val="000000"/>
                <w:szCs w:val="24"/>
                <w:lang w:val="en-US"/>
              </w:rPr>
              <w:t>Retained and opened up to the north side.</w:t>
            </w:r>
            <w:r w:rsidR="00B76518" w:rsidRPr="00B76518">
              <w:rPr>
                <w:rFonts w:cs="Arial"/>
                <w:color w:val="000000"/>
                <w:szCs w:val="24"/>
                <w:lang w:val="en-US"/>
              </w:rPr>
              <w:t xml:space="preserve"> The arches will be integrated with the proposed swimming pool deck and connected to a new set of stairs to the west.</w:t>
            </w:r>
            <w:r w:rsidRPr="00B76518">
              <w:rPr>
                <w:rFonts w:cs="Arial"/>
                <w:color w:val="000000"/>
                <w:szCs w:val="24"/>
                <w:lang w:val="en-US"/>
              </w:rPr>
              <w:t xml:space="preserve"> </w:t>
            </w:r>
          </w:p>
        </w:tc>
        <w:tc>
          <w:tcPr>
            <w:tcW w:w="3543" w:type="dxa"/>
          </w:tcPr>
          <w:p w14:paraId="5C5F05BE" w14:textId="78C25C10" w:rsidR="00FD6918" w:rsidRPr="008717F9" w:rsidRDefault="007927AE" w:rsidP="004C3C91">
            <w:pPr>
              <w:autoSpaceDE w:val="0"/>
              <w:autoSpaceDN w:val="0"/>
              <w:adjustRightInd w:val="0"/>
              <w:spacing w:line="240" w:lineRule="atLeast"/>
              <w:rPr>
                <w:rFonts w:cs="Arial"/>
                <w:color w:val="000000"/>
                <w:szCs w:val="24"/>
                <w:highlight w:val="yellow"/>
                <w:lang w:val="en-US"/>
              </w:rPr>
            </w:pPr>
            <w:r w:rsidRPr="007927AE">
              <w:rPr>
                <w:rFonts w:cs="Arial"/>
                <w:color w:val="000000"/>
                <w:szCs w:val="24"/>
                <w:lang w:val="en-US"/>
              </w:rPr>
              <w:t xml:space="preserve">No works </w:t>
            </w:r>
            <w:r>
              <w:rPr>
                <w:rFonts w:cs="Arial"/>
                <w:color w:val="000000"/>
                <w:szCs w:val="24"/>
                <w:lang w:val="en-US"/>
              </w:rPr>
              <w:t xml:space="preserve">are proposed </w:t>
            </w:r>
            <w:r w:rsidRPr="007927AE">
              <w:rPr>
                <w:rFonts w:cs="Arial"/>
                <w:color w:val="000000"/>
                <w:szCs w:val="24"/>
                <w:lang w:val="en-US"/>
              </w:rPr>
              <w:t>to the northern grandstand as part of the S4.55 Application.</w:t>
            </w:r>
          </w:p>
        </w:tc>
        <w:tc>
          <w:tcPr>
            <w:tcW w:w="1808" w:type="dxa"/>
          </w:tcPr>
          <w:p w14:paraId="446C3432" w14:textId="7FD5771B" w:rsidR="00FD6918" w:rsidRPr="008717F9" w:rsidRDefault="007927AE" w:rsidP="007927AE">
            <w:pPr>
              <w:autoSpaceDE w:val="0"/>
              <w:autoSpaceDN w:val="0"/>
              <w:adjustRightInd w:val="0"/>
              <w:spacing w:line="240" w:lineRule="atLeast"/>
              <w:rPr>
                <w:rFonts w:cs="Arial"/>
                <w:color w:val="000000"/>
                <w:szCs w:val="24"/>
                <w:highlight w:val="yellow"/>
                <w:lang w:val="en-US"/>
              </w:rPr>
            </w:pPr>
            <w:r w:rsidRPr="007927AE">
              <w:rPr>
                <w:rFonts w:cs="Arial"/>
                <w:color w:val="000000"/>
                <w:szCs w:val="24"/>
                <w:lang w:val="en-US"/>
              </w:rPr>
              <w:t>No impact.</w:t>
            </w:r>
          </w:p>
        </w:tc>
      </w:tr>
      <w:tr w:rsidR="00FD6918" w:rsidRPr="008717F9" w14:paraId="14B992C6" w14:textId="77777777" w:rsidTr="00E35E86">
        <w:tc>
          <w:tcPr>
            <w:tcW w:w="388" w:type="dxa"/>
          </w:tcPr>
          <w:p w14:paraId="60100A8E" w14:textId="77777777" w:rsidR="00FD6918" w:rsidRPr="008717F9" w:rsidRDefault="00FD6918" w:rsidP="004C3C91">
            <w:pPr>
              <w:autoSpaceDE w:val="0"/>
              <w:autoSpaceDN w:val="0"/>
              <w:adjustRightInd w:val="0"/>
              <w:spacing w:line="240" w:lineRule="atLeast"/>
              <w:rPr>
                <w:rFonts w:cs="Arial"/>
                <w:b/>
                <w:color w:val="000000"/>
                <w:szCs w:val="24"/>
                <w:lang w:val="en-US"/>
              </w:rPr>
            </w:pPr>
            <w:r w:rsidRPr="008717F9">
              <w:rPr>
                <w:rFonts w:cs="Arial"/>
                <w:b/>
                <w:color w:val="000000"/>
                <w:szCs w:val="24"/>
                <w:lang w:val="en-US"/>
              </w:rPr>
              <w:lastRenderedPageBreak/>
              <w:t>3</w:t>
            </w:r>
          </w:p>
        </w:tc>
        <w:tc>
          <w:tcPr>
            <w:tcW w:w="1550" w:type="dxa"/>
          </w:tcPr>
          <w:p w14:paraId="6271E31E" w14:textId="77777777" w:rsidR="00FD6918" w:rsidRPr="008717F9" w:rsidRDefault="00FD6918" w:rsidP="004C3C91">
            <w:pPr>
              <w:autoSpaceDE w:val="0"/>
              <w:autoSpaceDN w:val="0"/>
              <w:adjustRightInd w:val="0"/>
              <w:spacing w:line="240" w:lineRule="atLeast"/>
              <w:rPr>
                <w:rFonts w:cs="Arial"/>
                <w:b/>
                <w:color w:val="000000"/>
                <w:szCs w:val="24"/>
                <w:lang w:val="en-US"/>
              </w:rPr>
            </w:pPr>
            <w:r w:rsidRPr="008717F9">
              <w:rPr>
                <w:rFonts w:cs="Arial"/>
                <w:b/>
                <w:color w:val="000000"/>
                <w:szCs w:val="24"/>
                <w:lang w:val="en-US"/>
              </w:rPr>
              <w:t>Centre courts</w:t>
            </w:r>
          </w:p>
        </w:tc>
        <w:tc>
          <w:tcPr>
            <w:tcW w:w="2565" w:type="dxa"/>
          </w:tcPr>
          <w:p w14:paraId="4622E791" w14:textId="77777777" w:rsidR="00FD6918" w:rsidRPr="008717F9" w:rsidRDefault="00FD6918" w:rsidP="004C3C91">
            <w:pPr>
              <w:autoSpaceDE w:val="0"/>
              <w:autoSpaceDN w:val="0"/>
              <w:adjustRightInd w:val="0"/>
              <w:spacing w:line="240" w:lineRule="atLeast"/>
              <w:rPr>
                <w:rFonts w:cs="Arial"/>
                <w:color w:val="000000"/>
                <w:szCs w:val="24"/>
                <w:highlight w:val="yellow"/>
                <w:lang w:val="en-US"/>
              </w:rPr>
            </w:pPr>
            <w:r w:rsidRPr="00B76518">
              <w:rPr>
                <w:rFonts w:cs="Arial"/>
                <w:color w:val="000000"/>
                <w:szCs w:val="24"/>
                <w:lang w:val="en-US"/>
              </w:rPr>
              <w:t>To be built upon subject to heritage interpretation strategies aiming to retain the remembrance of such open enclosure.</w:t>
            </w:r>
          </w:p>
        </w:tc>
        <w:tc>
          <w:tcPr>
            <w:tcW w:w="3543" w:type="dxa"/>
          </w:tcPr>
          <w:p w14:paraId="441A6E35" w14:textId="6A3514E6" w:rsidR="00FD6918" w:rsidRPr="008717F9" w:rsidRDefault="00E35E86" w:rsidP="00E35E86">
            <w:pPr>
              <w:autoSpaceDE w:val="0"/>
              <w:autoSpaceDN w:val="0"/>
              <w:adjustRightInd w:val="0"/>
              <w:spacing w:line="240" w:lineRule="atLeast"/>
              <w:rPr>
                <w:rFonts w:cs="Arial"/>
                <w:color w:val="000000"/>
                <w:szCs w:val="24"/>
                <w:highlight w:val="yellow"/>
                <w:lang w:val="en-US"/>
              </w:rPr>
            </w:pPr>
            <w:r w:rsidRPr="007927AE">
              <w:rPr>
                <w:rFonts w:cs="Arial"/>
                <w:color w:val="000000"/>
                <w:szCs w:val="24"/>
                <w:lang w:val="en-US"/>
              </w:rPr>
              <w:t xml:space="preserve">No works </w:t>
            </w:r>
            <w:r>
              <w:rPr>
                <w:rFonts w:cs="Arial"/>
                <w:color w:val="000000"/>
                <w:szCs w:val="24"/>
                <w:lang w:val="en-US"/>
              </w:rPr>
              <w:t xml:space="preserve">are proposed to the </w:t>
            </w:r>
            <w:r>
              <w:rPr>
                <w:rFonts w:cs="Arial"/>
                <w:color w:val="000000"/>
                <w:szCs w:val="24"/>
                <w:lang w:val="en-US"/>
              </w:rPr>
              <w:t>centre court</w:t>
            </w:r>
            <w:r>
              <w:rPr>
                <w:rFonts w:cs="Arial"/>
                <w:color w:val="000000"/>
                <w:szCs w:val="24"/>
                <w:lang w:val="en-US"/>
              </w:rPr>
              <w:t xml:space="preserve"> </w:t>
            </w:r>
            <w:r w:rsidRPr="007927AE">
              <w:rPr>
                <w:rFonts w:cs="Arial"/>
                <w:color w:val="000000"/>
                <w:szCs w:val="24"/>
                <w:lang w:val="en-US"/>
              </w:rPr>
              <w:t>as part of the S4.55 Application.</w:t>
            </w:r>
          </w:p>
        </w:tc>
        <w:tc>
          <w:tcPr>
            <w:tcW w:w="1808" w:type="dxa"/>
          </w:tcPr>
          <w:p w14:paraId="4502BA80" w14:textId="5E471831" w:rsidR="00FD6918" w:rsidRPr="007927AE" w:rsidRDefault="00FD6918" w:rsidP="00E35E86">
            <w:pPr>
              <w:autoSpaceDE w:val="0"/>
              <w:autoSpaceDN w:val="0"/>
              <w:adjustRightInd w:val="0"/>
              <w:spacing w:line="240" w:lineRule="atLeast"/>
              <w:rPr>
                <w:rFonts w:cs="Arial"/>
                <w:color w:val="000000"/>
                <w:szCs w:val="24"/>
                <w:lang w:val="en-US"/>
              </w:rPr>
            </w:pPr>
            <w:r w:rsidRPr="007927AE">
              <w:rPr>
                <w:rFonts w:cs="Arial"/>
                <w:color w:val="000000"/>
                <w:szCs w:val="24"/>
                <w:lang w:val="en-US"/>
              </w:rPr>
              <w:t>No impact.</w:t>
            </w:r>
          </w:p>
        </w:tc>
      </w:tr>
      <w:tr w:rsidR="00FD6918" w:rsidRPr="008717F9" w14:paraId="61A36508" w14:textId="77777777" w:rsidTr="00E35E86">
        <w:tc>
          <w:tcPr>
            <w:tcW w:w="388" w:type="dxa"/>
          </w:tcPr>
          <w:p w14:paraId="2E407A57" w14:textId="77777777" w:rsidR="00FD6918" w:rsidRPr="008717F9" w:rsidRDefault="00FD6918" w:rsidP="004C3C91">
            <w:pPr>
              <w:autoSpaceDE w:val="0"/>
              <w:autoSpaceDN w:val="0"/>
              <w:adjustRightInd w:val="0"/>
              <w:spacing w:line="240" w:lineRule="atLeast"/>
              <w:rPr>
                <w:rFonts w:cs="Arial"/>
                <w:b/>
                <w:color w:val="000000"/>
                <w:szCs w:val="24"/>
                <w:lang w:val="en-US"/>
              </w:rPr>
            </w:pPr>
            <w:r w:rsidRPr="008717F9">
              <w:rPr>
                <w:rFonts w:cs="Arial"/>
                <w:b/>
                <w:color w:val="000000"/>
                <w:szCs w:val="24"/>
                <w:lang w:val="en-US"/>
              </w:rPr>
              <w:t>4</w:t>
            </w:r>
          </w:p>
        </w:tc>
        <w:tc>
          <w:tcPr>
            <w:tcW w:w="1550" w:type="dxa"/>
          </w:tcPr>
          <w:p w14:paraId="7AA22F39" w14:textId="77777777" w:rsidR="00FD6918" w:rsidRPr="008717F9" w:rsidRDefault="00FD6918" w:rsidP="004C3C91">
            <w:pPr>
              <w:autoSpaceDE w:val="0"/>
              <w:autoSpaceDN w:val="0"/>
              <w:adjustRightInd w:val="0"/>
              <w:spacing w:line="240" w:lineRule="atLeast"/>
              <w:rPr>
                <w:rFonts w:cs="Arial"/>
                <w:b/>
                <w:color w:val="000000"/>
                <w:szCs w:val="24"/>
                <w:lang w:val="en-US"/>
              </w:rPr>
            </w:pPr>
            <w:r w:rsidRPr="008717F9">
              <w:rPr>
                <w:rFonts w:cs="Arial"/>
                <w:b/>
                <w:color w:val="000000"/>
                <w:szCs w:val="24"/>
                <w:lang w:val="en-US"/>
              </w:rPr>
              <w:t>Ticket Building and NSWTA Gates</w:t>
            </w:r>
          </w:p>
        </w:tc>
        <w:tc>
          <w:tcPr>
            <w:tcW w:w="2565" w:type="dxa"/>
          </w:tcPr>
          <w:p w14:paraId="3AFA92D2" w14:textId="497E60A4" w:rsidR="00FD6918" w:rsidRPr="008717F9" w:rsidRDefault="00FD6918" w:rsidP="00B76518">
            <w:pPr>
              <w:autoSpaceDE w:val="0"/>
              <w:autoSpaceDN w:val="0"/>
              <w:adjustRightInd w:val="0"/>
              <w:spacing w:line="240" w:lineRule="atLeast"/>
              <w:rPr>
                <w:rFonts w:cs="Arial"/>
                <w:color w:val="000000"/>
                <w:szCs w:val="24"/>
                <w:highlight w:val="yellow"/>
                <w:lang w:val="en-US"/>
              </w:rPr>
            </w:pPr>
            <w:r w:rsidRPr="00B76518">
              <w:rPr>
                <w:rFonts w:cs="Arial"/>
                <w:color w:val="000000"/>
                <w:szCs w:val="24"/>
                <w:lang w:val="en-US"/>
              </w:rPr>
              <w:t xml:space="preserve">The building of little significance is to be demolished. The Gates will be retained and relocated </w:t>
            </w:r>
            <w:r w:rsidR="00B76518" w:rsidRPr="00B76518">
              <w:rPr>
                <w:rFonts w:cs="Arial"/>
                <w:color w:val="000000"/>
                <w:szCs w:val="24"/>
                <w:lang w:val="en-US"/>
              </w:rPr>
              <w:t>to the Alma Street entrance.</w:t>
            </w:r>
          </w:p>
        </w:tc>
        <w:tc>
          <w:tcPr>
            <w:tcW w:w="3543" w:type="dxa"/>
          </w:tcPr>
          <w:p w14:paraId="39DF5888" w14:textId="2655B776" w:rsidR="00FD6918" w:rsidRPr="008717F9" w:rsidRDefault="007927AE" w:rsidP="007927AE">
            <w:pPr>
              <w:autoSpaceDE w:val="0"/>
              <w:autoSpaceDN w:val="0"/>
              <w:adjustRightInd w:val="0"/>
              <w:spacing w:line="240" w:lineRule="atLeast"/>
              <w:rPr>
                <w:rFonts w:cs="Arial"/>
                <w:color w:val="000000"/>
                <w:szCs w:val="24"/>
                <w:highlight w:val="yellow"/>
                <w:lang w:val="en-US"/>
              </w:rPr>
            </w:pPr>
            <w:r w:rsidRPr="007927AE">
              <w:rPr>
                <w:rFonts w:cs="Arial"/>
                <w:color w:val="000000"/>
                <w:szCs w:val="24"/>
                <w:lang w:val="en-US"/>
              </w:rPr>
              <w:t xml:space="preserve">No works </w:t>
            </w:r>
            <w:r>
              <w:rPr>
                <w:rFonts w:cs="Arial"/>
                <w:color w:val="000000"/>
                <w:szCs w:val="24"/>
                <w:lang w:val="en-US"/>
              </w:rPr>
              <w:t xml:space="preserve">are proposed to the Ticket Building and NSWTA Gates </w:t>
            </w:r>
            <w:r w:rsidRPr="007927AE">
              <w:rPr>
                <w:rFonts w:cs="Arial"/>
                <w:color w:val="000000"/>
                <w:szCs w:val="24"/>
                <w:lang w:val="en-US"/>
              </w:rPr>
              <w:t>as part of the S4.55 Application.</w:t>
            </w:r>
          </w:p>
        </w:tc>
        <w:tc>
          <w:tcPr>
            <w:tcW w:w="1808" w:type="dxa"/>
          </w:tcPr>
          <w:p w14:paraId="485435DE" w14:textId="50AF92CF" w:rsidR="00FD6918" w:rsidRPr="008717F9" w:rsidRDefault="00FD6918" w:rsidP="007927AE">
            <w:pPr>
              <w:autoSpaceDE w:val="0"/>
              <w:autoSpaceDN w:val="0"/>
              <w:adjustRightInd w:val="0"/>
              <w:spacing w:line="240" w:lineRule="atLeast"/>
              <w:rPr>
                <w:rFonts w:cs="Arial"/>
                <w:color w:val="000000"/>
                <w:szCs w:val="24"/>
                <w:highlight w:val="yellow"/>
                <w:lang w:val="en-US"/>
              </w:rPr>
            </w:pPr>
            <w:r w:rsidRPr="007927AE">
              <w:rPr>
                <w:rFonts w:cs="Arial"/>
                <w:color w:val="000000"/>
                <w:szCs w:val="24"/>
                <w:lang w:val="en-US"/>
              </w:rPr>
              <w:t>No impact.</w:t>
            </w:r>
          </w:p>
        </w:tc>
      </w:tr>
      <w:tr w:rsidR="00FD6918" w:rsidRPr="008717F9" w14:paraId="3E4D76E2" w14:textId="77777777" w:rsidTr="00E35E86">
        <w:tc>
          <w:tcPr>
            <w:tcW w:w="388" w:type="dxa"/>
          </w:tcPr>
          <w:p w14:paraId="5467C683" w14:textId="77777777" w:rsidR="00FD6918" w:rsidRPr="008717F9" w:rsidRDefault="00FD6918" w:rsidP="004C3C91">
            <w:pPr>
              <w:autoSpaceDE w:val="0"/>
              <w:autoSpaceDN w:val="0"/>
              <w:adjustRightInd w:val="0"/>
              <w:spacing w:line="240" w:lineRule="atLeast"/>
              <w:rPr>
                <w:rFonts w:cs="Arial"/>
                <w:b/>
                <w:color w:val="000000"/>
                <w:szCs w:val="24"/>
                <w:lang w:val="en-US"/>
              </w:rPr>
            </w:pPr>
            <w:r w:rsidRPr="008717F9">
              <w:rPr>
                <w:rFonts w:cs="Arial"/>
                <w:b/>
                <w:color w:val="000000"/>
                <w:szCs w:val="24"/>
                <w:lang w:val="en-US"/>
              </w:rPr>
              <w:t>5</w:t>
            </w:r>
          </w:p>
        </w:tc>
        <w:tc>
          <w:tcPr>
            <w:tcW w:w="1550" w:type="dxa"/>
          </w:tcPr>
          <w:p w14:paraId="2C376AEE" w14:textId="77777777" w:rsidR="00FD6918" w:rsidRPr="008717F9" w:rsidRDefault="00FD6918" w:rsidP="004C3C91">
            <w:pPr>
              <w:autoSpaceDE w:val="0"/>
              <w:autoSpaceDN w:val="0"/>
              <w:adjustRightInd w:val="0"/>
              <w:spacing w:line="240" w:lineRule="atLeast"/>
              <w:rPr>
                <w:rFonts w:cs="Arial"/>
                <w:b/>
                <w:color w:val="000000"/>
                <w:szCs w:val="24"/>
                <w:lang w:val="en-US"/>
              </w:rPr>
            </w:pPr>
            <w:r w:rsidRPr="008717F9">
              <w:rPr>
                <w:rFonts w:cs="Arial"/>
                <w:b/>
                <w:color w:val="000000"/>
                <w:szCs w:val="24"/>
                <w:lang w:val="en-US"/>
              </w:rPr>
              <w:t>Moveable heritage and Tennis NSW Memorabilia</w:t>
            </w:r>
          </w:p>
        </w:tc>
        <w:tc>
          <w:tcPr>
            <w:tcW w:w="2565" w:type="dxa"/>
          </w:tcPr>
          <w:p w14:paraId="650DF00B" w14:textId="77777777" w:rsidR="00FD6918" w:rsidRPr="008717F9" w:rsidRDefault="00FD6918" w:rsidP="004C3C91">
            <w:pPr>
              <w:autoSpaceDE w:val="0"/>
              <w:autoSpaceDN w:val="0"/>
              <w:adjustRightInd w:val="0"/>
              <w:spacing w:line="240" w:lineRule="atLeast"/>
              <w:rPr>
                <w:rFonts w:cs="Arial"/>
                <w:color w:val="000000"/>
                <w:szCs w:val="24"/>
                <w:highlight w:val="yellow"/>
                <w:lang w:val="en-US"/>
              </w:rPr>
            </w:pPr>
            <w:r w:rsidRPr="00B76518">
              <w:rPr>
                <w:rFonts w:cs="Arial"/>
                <w:color w:val="000000"/>
                <w:szCs w:val="24"/>
                <w:lang w:val="en-US"/>
              </w:rPr>
              <w:t>Retained in interpretative displays in the lobby space of the Gym in the southern stand.</w:t>
            </w:r>
          </w:p>
        </w:tc>
        <w:tc>
          <w:tcPr>
            <w:tcW w:w="3543" w:type="dxa"/>
          </w:tcPr>
          <w:p w14:paraId="62BED00D" w14:textId="523D2CB6" w:rsidR="00FD6918" w:rsidRPr="008717F9" w:rsidRDefault="007927AE" w:rsidP="007927AE">
            <w:pPr>
              <w:autoSpaceDE w:val="0"/>
              <w:autoSpaceDN w:val="0"/>
              <w:adjustRightInd w:val="0"/>
              <w:spacing w:line="240" w:lineRule="atLeast"/>
              <w:rPr>
                <w:rFonts w:cs="Arial"/>
                <w:color w:val="000000"/>
                <w:szCs w:val="24"/>
                <w:highlight w:val="yellow"/>
                <w:lang w:val="en-US"/>
              </w:rPr>
            </w:pPr>
            <w:r w:rsidRPr="007927AE">
              <w:rPr>
                <w:rFonts w:cs="Arial"/>
                <w:color w:val="000000"/>
                <w:szCs w:val="24"/>
                <w:lang w:val="en-US"/>
              </w:rPr>
              <w:t xml:space="preserve">No works </w:t>
            </w:r>
            <w:r>
              <w:rPr>
                <w:rFonts w:cs="Arial"/>
                <w:color w:val="000000"/>
                <w:szCs w:val="24"/>
                <w:lang w:val="en-US"/>
              </w:rPr>
              <w:t xml:space="preserve">are proposed to the </w:t>
            </w:r>
            <w:r>
              <w:rPr>
                <w:rFonts w:cs="Arial"/>
                <w:color w:val="000000"/>
                <w:szCs w:val="24"/>
                <w:lang w:val="en-US"/>
              </w:rPr>
              <w:t>moveable heritage and Tennis NSW Memorabilia</w:t>
            </w:r>
            <w:r>
              <w:rPr>
                <w:rFonts w:cs="Arial"/>
                <w:color w:val="000000"/>
                <w:szCs w:val="24"/>
                <w:lang w:val="en-US"/>
              </w:rPr>
              <w:t xml:space="preserve"> </w:t>
            </w:r>
            <w:r w:rsidRPr="007927AE">
              <w:rPr>
                <w:rFonts w:cs="Arial"/>
                <w:color w:val="000000"/>
                <w:szCs w:val="24"/>
                <w:lang w:val="en-US"/>
              </w:rPr>
              <w:t>as part of the S4.55 Application.</w:t>
            </w:r>
          </w:p>
        </w:tc>
        <w:tc>
          <w:tcPr>
            <w:tcW w:w="1808" w:type="dxa"/>
          </w:tcPr>
          <w:p w14:paraId="4D407ECE" w14:textId="3BE29C61" w:rsidR="00FD6918" w:rsidRPr="008717F9" w:rsidRDefault="00FD6918" w:rsidP="007927AE">
            <w:pPr>
              <w:autoSpaceDE w:val="0"/>
              <w:autoSpaceDN w:val="0"/>
              <w:adjustRightInd w:val="0"/>
              <w:spacing w:line="240" w:lineRule="atLeast"/>
              <w:rPr>
                <w:rFonts w:cs="Arial"/>
                <w:color w:val="000000"/>
                <w:szCs w:val="24"/>
                <w:highlight w:val="yellow"/>
                <w:lang w:val="en-US"/>
              </w:rPr>
            </w:pPr>
            <w:r w:rsidRPr="007927AE">
              <w:rPr>
                <w:rFonts w:cs="Arial"/>
                <w:color w:val="000000"/>
                <w:szCs w:val="24"/>
                <w:lang w:val="en-US"/>
              </w:rPr>
              <w:t xml:space="preserve">No </w:t>
            </w:r>
            <w:r w:rsidR="007927AE" w:rsidRPr="007927AE">
              <w:rPr>
                <w:rFonts w:cs="Arial"/>
                <w:color w:val="000000"/>
                <w:szCs w:val="24"/>
                <w:lang w:val="en-US"/>
              </w:rPr>
              <w:t>impact.</w:t>
            </w:r>
          </w:p>
        </w:tc>
      </w:tr>
      <w:tr w:rsidR="00FD6918" w:rsidRPr="008717F9" w14:paraId="63C3E713" w14:textId="77777777" w:rsidTr="00E35E86">
        <w:tc>
          <w:tcPr>
            <w:tcW w:w="388" w:type="dxa"/>
          </w:tcPr>
          <w:p w14:paraId="3CD691F8" w14:textId="77777777" w:rsidR="00FD6918" w:rsidRPr="008717F9" w:rsidRDefault="00FD6918" w:rsidP="004C3C91">
            <w:pPr>
              <w:autoSpaceDE w:val="0"/>
              <w:autoSpaceDN w:val="0"/>
              <w:adjustRightInd w:val="0"/>
              <w:spacing w:line="240" w:lineRule="atLeast"/>
              <w:rPr>
                <w:rFonts w:cs="Arial"/>
                <w:b/>
                <w:color w:val="000000"/>
                <w:szCs w:val="24"/>
                <w:lang w:val="en-US"/>
              </w:rPr>
            </w:pPr>
            <w:r w:rsidRPr="008717F9">
              <w:rPr>
                <w:rFonts w:cs="Arial"/>
                <w:b/>
                <w:color w:val="000000"/>
                <w:szCs w:val="24"/>
                <w:lang w:val="en-US"/>
              </w:rPr>
              <w:t>6</w:t>
            </w:r>
          </w:p>
        </w:tc>
        <w:tc>
          <w:tcPr>
            <w:tcW w:w="1550" w:type="dxa"/>
          </w:tcPr>
          <w:p w14:paraId="0EAAB715" w14:textId="77777777" w:rsidR="00FD6918" w:rsidRPr="008717F9" w:rsidRDefault="00FD6918" w:rsidP="004C3C91">
            <w:pPr>
              <w:autoSpaceDE w:val="0"/>
              <w:autoSpaceDN w:val="0"/>
              <w:adjustRightInd w:val="0"/>
              <w:spacing w:line="240" w:lineRule="atLeast"/>
              <w:rPr>
                <w:rFonts w:cs="Arial"/>
                <w:b/>
                <w:color w:val="000000"/>
                <w:szCs w:val="24"/>
                <w:lang w:val="en-US"/>
              </w:rPr>
            </w:pPr>
            <w:r w:rsidRPr="008717F9">
              <w:rPr>
                <w:rFonts w:cs="Arial"/>
                <w:b/>
                <w:color w:val="000000"/>
                <w:szCs w:val="24"/>
                <w:lang w:val="en-US"/>
              </w:rPr>
              <w:t>Green and open valley character</w:t>
            </w:r>
          </w:p>
        </w:tc>
        <w:tc>
          <w:tcPr>
            <w:tcW w:w="2565" w:type="dxa"/>
          </w:tcPr>
          <w:p w14:paraId="463E47E4" w14:textId="0C66B25E" w:rsidR="00FD6918" w:rsidRPr="008717F9" w:rsidRDefault="00FD6918" w:rsidP="007927AE">
            <w:pPr>
              <w:autoSpaceDE w:val="0"/>
              <w:autoSpaceDN w:val="0"/>
              <w:adjustRightInd w:val="0"/>
              <w:spacing w:line="240" w:lineRule="atLeast"/>
              <w:rPr>
                <w:rFonts w:cs="Arial"/>
                <w:color w:val="000000"/>
                <w:szCs w:val="24"/>
                <w:highlight w:val="yellow"/>
                <w:lang w:val="en-US"/>
              </w:rPr>
            </w:pPr>
            <w:r w:rsidRPr="00B76518">
              <w:rPr>
                <w:rFonts w:cs="Arial"/>
                <w:color w:val="000000"/>
                <w:szCs w:val="24"/>
                <w:lang w:val="en-US"/>
              </w:rPr>
              <w:t xml:space="preserve">Retained </w:t>
            </w:r>
            <w:r w:rsidR="007927AE">
              <w:rPr>
                <w:rFonts w:cs="Arial"/>
                <w:color w:val="000000"/>
                <w:szCs w:val="24"/>
                <w:lang w:val="en-US"/>
              </w:rPr>
              <w:t>due</w:t>
            </w:r>
            <w:r w:rsidRPr="00B76518">
              <w:rPr>
                <w:rFonts w:cs="Arial"/>
                <w:color w:val="000000"/>
                <w:szCs w:val="24"/>
                <w:lang w:val="en-US"/>
              </w:rPr>
              <w:t xml:space="preserve"> to relocation of the Clubhouse building, retained topography levels and opening up of views within the site.</w:t>
            </w:r>
          </w:p>
        </w:tc>
        <w:tc>
          <w:tcPr>
            <w:tcW w:w="3543" w:type="dxa"/>
          </w:tcPr>
          <w:p w14:paraId="5E58D68F" w14:textId="08665D81" w:rsidR="00FD6918" w:rsidRPr="008717F9" w:rsidRDefault="007927AE" w:rsidP="00B76518">
            <w:pPr>
              <w:autoSpaceDE w:val="0"/>
              <w:autoSpaceDN w:val="0"/>
              <w:adjustRightInd w:val="0"/>
              <w:spacing w:line="240" w:lineRule="atLeast"/>
              <w:rPr>
                <w:rFonts w:cs="Arial"/>
                <w:color w:val="000000"/>
                <w:szCs w:val="24"/>
                <w:highlight w:val="yellow"/>
                <w:lang w:val="en-US"/>
              </w:rPr>
            </w:pPr>
            <w:r w:rsidRPr="007927AE">
              <w:rPr>
                <w:rFonts w:cs="Arial"/>
                <w:color w:val="000000"/>
                <w:szCs w:val="24"/>
                <w:lang w:val="en-US"/>
              </w:rPr>
              <w:t>No works are proposed to the green and open valley character as part of the application.</w:t>
            </w:r>
          </w:p>
        </w:tc>
        <w:tc>
          <w:tcPr>
            <w:tcW w:w="1808" w:type="dxa"/>
          </w:tcPr>
          <w:p w14:paraId="112C18E6" w14:textId="5987CB3D" w:rsidR="00FD6918" w:rsidRPr="008717F9" w:rsidRDefault="00FD6918" w:rsidP="007927AE">
            <w:pPr>
              <w:autoSpaceDE w:val="0"/>
              <w:autoSpaceDN w:val="0"/>
              <w:adjustRightInd w:val="0"/>
              <w:spacing w:line="240" w:lineRule="atLeast"/>
              <w:rPr>
                <w:rFonts w:cs="Arial"/>
                <w:color w:val="000000"/>
                <w:szCs w:val="24"/>
                <w:highlight w:val="yellow"/>
                <w:lang w:val="en-US"/>
              </w:rPr>
            </w:pPr>
            <w:r w:rsidRPr="007927AE">
              <w:rPr>
                <w:rFonts w:cs="Arial"/>
                <w:color w:val="000000"/>
                <w:szCs w:val="24"/>
                <w:lang w:val="en-US"/>
              </w:rPr>
              <w:t xml:space="preserve">No impact. </w:t>
            </w:r>
          </w:p>
        </w:tc>
      </w:tr>
    </w:tbl>
    <w:p w14:paraId="5ABF3414" w14:textId="77777777" w:rsidR="007E6FAE" w:rsidRPr="00FD6918" w:rsidRDefault="007E6FAE" w:rsidP="007E6FAE"/>
    <w:p w14:paraId="063B7C98" w14:textId="77777777" w:rsidR="00FD6918" w:rsidRDefault="00FD6918" w:rsidP="007E6FAE">
      <w:pPr>
        <w:rPr>
          <w:rFonts w:cs="Arial"/>
          <w:u w:val="single"/>
        </w:rPr>
      </w:pPr>
    </w:p>
    <w:p w14:paraId="743DD168" w14:textId="57C0459D" w:rsidR="007E6FAE" w:rsidRPr="008717F9" w:rsidRDefault="007E6FAE" w:rsidP="007E6FAE">
      <w:pPr>
        <w:rPr>
          <w:rFonts w:cs="Arial"/>
          <w:u w:val="single"/>
        </w:rPr>
      </w:pPr>
      <w:r w:rsidRPr="008717F9">
        <w:rPr>
          <w:rFonts w:cs="Arial"/>
          <w:u w:val="single"/>
        </w:rPr>
        <w:t>Woollahra DCP 2015</w:t>
      </w:r>
    </w:p>
    <w:p w14:paraId="02978370" w14:textId="77777777" w:rsidR="007E6FAE" w:rsidRPr="008717F9" w:rsidRDefault="007E6FAE" w:rsidP="007E6FAE">
      <w:pPr>
        <w:rPr>
          <w:rFonts w:cs="Arial"/>
          <w:szCs w:val="22"/>
        </w:rPr>
      </w:pPr>
    </w:p>
    <w:tbl>
      <w:tblPr>
        <w:tblStyle w:val="TableGrid"/>
        <w:tblW w:w="0" w:type="auto"/>
        <w:tblInd w:w="108" w:type="dxa"/>
        <w:tblLook w:val="01E0" w:firstRow="1" w:lastRow="1" w:firstColumn="1" w:lastColumn="1" w:noHBand="0" w:noVBand="0"/>
      </w:tblPr>
      <w:tblGrid>
        <w:gridCol w:w="9135"/>
      </w:tblGrid>
      <w:tr w:rsidR="007E6FAE" w:rsidRPr="005E3D5C" w14:paraId="1743A3A1" w14:textId="77777777" w:rsidTr="00E47D3C">
        <w:tc>
          <w:tcPr>
            <w:tcW w:w="9135" w:type="dxa"/>
          </w:tcPr>
          <w:p w14:paraId="099A0E85" w14:textId="376FA8DB" w:rsidR="007E6FAE" w:rsidRPr="005E3D5C" w:rsidRDefault="00801608" w:rsidP="00801608">
            <w:pPr>
              <w:autoSpaceDE w:val="0"/>
              <w:autoSpaceDN w:val="0"/>
              <w:adjustRightInd w:val="0"/>
              <w:spacing w:line="240" w:lineRule="atLeast"/>
              <w:rPr>
                <w:rFonts w:cs="Arial"/>
                <w:color w:val="000000"/>
                <w:szCs w:val="24"/>
                <w:lang w:val="en-US"/>
              </w:rPr>
            </w:pPr>
            <w:r w:rsidRPr="005E3D5C">
              <w:rPr>
                <w:rFonts w:cs="Arial"/>
                <w:color w:val="000000"/>
                <w:szCs w:val="24"/>
                <w:lang w:val="en-US"/>
              </w:rPr>
              <w:t>The subject site is within the Paddington</w:t>
            </w:r>
            <w:r w:rsidR="007E6FAE" w:rsidRPr="005E3D5C">
              <w:rPr>
                <w:rFonts w:cs="Arial"/>
                <w:color w:val="000000"/>
                <w:szCs w:val="24"/>
                <w:lang w:val="en-US"/>
              </w:rPr>
              <w:t xml:space="preserve"> Heri</w:t>
            </w:r>
            <w:r w:rsidRPr="005E3D5C">
              <w:rPr>
                <w:rFonts w:cs="Arial"/>
                <w:color w:val="000000"/>
                <w:szCs w:val="24"/>
                <w:lang w:val="en-US"/>
              </w:rPr>
              <w:t>tage Conservation Area, and is</w:t>
            </w:r>
            <w:r w:rsidR="007E6FAE" w:rsidRPr="005E3D5C">
              <w:rPr>
                <w:rFonts w:cs="Arial"/>
                <w:color w:val="000000"/>
                <w:szCs w:val="24"/>
                <w:lang w:val="en-US"/>
              </w:rPr>
              <w:t xml:space="preserve"> considered a contributory item and a significant item. </w:t>
            </w:r>
          </w:p>
          <w:p w14:paraId="51ADB6C5" w14:textId="3176A779" w:rsidR="008472DE" w:rsidRPr="005E3D5C" w:rsidRDefault="008472DE" w:rsidP="00801608">
            <w:pPr>
              <w:autoSpaceDE w:val="0"/>
              <w:autoSpaceDN w:val="0"/>
              <w:adjustRightInd w:val="0"/>
              <w:spacing w:line="240" w:lineRule="atLeast"/>
              <w:rPr>
                <w:rFonts w:cs="Arial"/>
                <w:color w:val="000000"/>
                <w:szCs w:val="24"/>
                <w:lang w:val="en-US"/>
              </w:rPr>
            </w:pPr>
          </w:p>
          <w:p w14:paraId="0B4063E4" w14:textId="0D92C5E4" w:rsidR="00012CB8" w:rsidRPr="005E3D5C" w:rsidRDefault="008472DE" w:rsidP="008472DE">
            <w:pPr>
              <w:autoSpaceDE w:val="0"/>
              <w:autoSpaceDN w:val="0"/>
              <w:adjustRightInd w:val="0"/>
              <w:spacing w:line="240" w:lineRule="atLeast"/>
              <w:rPr>
                <w:color w:val="000000"/>
                <w:szCs w:val="24"/>
                <w:lang w:val="en-US"/>
              </w:rPr>
            </w:pPr>
            <w:r w:rsidRPr="005E3D5C">
              <w:rPr>
                <w:color w:val="000000"/>
                <w:szCs w:val="24"/>
                <w:lang w:val="en-US"/>
              </w:rPr>
              <w:t xml:space="preserve">The Woollahra DCP </w:t>
            </w:r>
            <w:r w:rsidR="00CC3EDB" w:rsidRPr="005E3D5C">
              <w:rPr>
                <w:color w:val="000000"/>
                <w:szCs w:val="24"/>
                <w:lang w:val="en-US"/>
              </w:rPr>
              <w:t xml:space="preserve">2015 </w:t>
            </w:r>
            <w:r w:rsidRPr="005E3D5C">
              <w:rPr>
                <w:color w:val="000000"/>
                <w:szCs w:val="24"/>
                <w:lang w:val="en-US"/>
              </w:rPr>
              <w:t>does not contain specific provisions for grandstands or sporting facilities.</w:t>
            </w:r>
            <w:r w:rsidR="00012CB8" w:rsidRPr="005E3D5C">
              <w:rPr>
                <w:color w:val="000000"/>
                <w:szCs w:val="24"/>
                <w:lang w:val="en-US"/>
              </w:rPr>
              <w:t xml:space="preserve"> In addition, it is noted that </w:t>
            </w:r>
            <w:r w:rsidR="00012CB8" w:rsidRPr="005E3D5C">
              <w:rPr>
                <w:i/>
                <w:color w:val="000000"/>
                <w:szCs w:val="24"/>
                <w:lang w:val="en-US"/>
              </w:rPr>
              <w:t>Clause 1.3.11 Public buildings</w:t>
            </w:r>
            <w:r w:rsidR="00012CB8" w:rsidRPr="005E3D5C">
              <w:rPr>
                <w:color w:val="000000"/>
                <w:szCs w:val="24"/>
                <w:lang w:val="en-US"/>
              </w:rPr>
              <w:t xml:space="preserve"> is not relevant to the subject property as it only applies to post offices and police stations. </w:t>
            </w:r>
            <w:r w:rsidR="00012CB8" w:rsidRPr="005E3D5C">
              <w:rPr>
                <w:i/>
                <w:color w:val="000000"/>
                <w:szCs w:val="24"/>
                <w:lang w:val="en-US"/>
              </w:rPr>
              <w:t xml:space="preserve">Clause 1.3.13 Infill development (new development) </w:t>
            </w:r>
            <w:r w:rsidR="00012CB8" w:rsidRPr="005E3D5C">
              <w:rPr>
                <w:color w:val="000000"/>
                <w:szCs w:val="24"/>
                <w:lang w:val="en-US"/>
              </w:rPr>
              <w:t xml:space="preserve">and </w:t>
            </w:r>
            <w:r w:rsidR="00012CB8" w:rsidRPr="005E3D5C">
              <w:rPr>
                <w:i/>
                <w:color w:val="000000"/>
                <w:szCs w:val="24"/>
                <w:lang w:val="en-US"/>
              </w:rPr>
              <w:t>Clause 1.3.12 Existing contemporary infill</w:t>
            </w:r>
            <w:r w:rsidR="00012CB8" w:rsidRPr="005E3D5C">
              <w:rPr>
                <w:color w:val="000000"/>
                <w:szCs w:val="24"/>
                <w:lang w:val="en-US"/>
              </w:rPr>
              <w:t xml:space="preserve"> also do not apply to the subject property. As a result, the proposed works will not be assessed against Clause 1.3 Building types of the DCP. </w:t>
            </w:r>
          </w:p>
          <w:p w14:paraId="28E8DC33" w14:textId="77777777" w:rsidR="00012CB8" w:rsidRPr="005E3D5C" w:rsidRDefault="00012CB8" w:rsidP="008472DE">
            <w:pPr>
              <w:autoSpaceDE w:val="0"/>
              <w:autoSpaceDN w:val="0"/>
              <w:adjustRightInd w:val="0"/>
              <w:spacing w:line="240" w:lineRule="atLeast"/>
              <w:rPr>
                <w:color w:val="000000"/>
                <w:szCs w:val="24"/>
                <w:lang w:val="en-US"/>
              </w:rPr>
            </w:pPr>
          </w:p>
          <w:p w14:paraId="17DA6DAF" w14:textId="77777777" w:rsidR="000D5362" w:rsidRPr="005E3D5C" w:rsidRDefault="000D5362" w:rsidP="000D5362">
            <w:pPr>
              <w:rPr>
                <w:rFonts w:cs="Arial"/>
                <w:b/>
                <w:szCs w:val="22"/>
              </w:rPr>
            </w:pPr>
            <w:r w:rsidRPr="005E3D5C">
              <w:rPr>
                <w:rFonts w:cs="Arial"/>
                <w:b/>
                <w:szCs w:val="22"/>
              </w:rPr>
              <w:t xml:space="preserve">Part C – Heritage Conservation Areas – C1 Paddington HCA DCP </w:t>
            </w:r>
          </w:p>
          <w:p w14:paraId="31AE83A7" w14:textId="77777777" w:rsidR="000D5362" w:rsidRPr="005E3D5C" w:rsidRDefault="000D5362" w:rsidP="000D5362">
            <w:pPr>
              <w:rPr>
                <w:rFonts w:cs="Arial"/>
                <w:b/>
                <w:szCs w:val="22"/>
              </w:rPr>
            </w:pPr>
          </w:p>
          <w:p w14:paraId="0EFD7689" w14:textId="77777777" w:rsidR="000D5362" w:rsidRPr="005E3D5C" w:rsidRDefault="000D5362" w:rsidP="000D5362">
            <w:pPr>
              <w:rPr>
                <w:rFonts w:cs="Arial"/>
                <w:b/>
                <w:i/>
                <w:szCs w:val="22"/>
              </w:rPr>
            </w:pPr>
            <w:r w:rsidRPr="005E3D5C">
              <w:rPr>
                <w:rFonts w:cs="Arial"/>
                <w:b/>
                <w:i/>
                <w:szCs w:val="22"/>
              </w:rPr>
              <w:t>UNDERSTANDING THE CONTEXT</w:t>
            </w:r>
          </w:p>
          <w:p w14:paraId="2CB92995" w14:textId="77777777" w:rsidR="000D5362" w:rsidRPr="005E3D5C" w:rsidRDefault="000D5362" w:rsidP="000D5362">
            <w:pPr>
              <w:rPr>
                <w:rFonts w:cs="Arial"/>
                <w:szCs w:val="22"/>
              </w:rPr>
            </w:pPr>
            <w:r w:rsidRPr="005E3D5C">
              <w:rPr>
                <w:rFonts w:cs="Arial"/>
                <w:szCs w:val="22"/>
              </w:rPr>
              <w:t>Clause 1.2.3 Character Elements</w:t>
            </w:r>
          </w:p>
          <w:p w14:paraId="567CFB5D" w14:textId="7F34BE9B" w:rsidR="000D5362" w:rsidRPr="005E3D5C" w:rsidRDefault="0062549F" w:rsidP="00401641">
            <w:pPr>
              <w:numPr>
                <w:ilvl w:val="0"/>
                <w:numId w:val="2"/>
              </w:numPr>
              <w:rPr>
                <w:rFonts w:cs="Arial"/>
                <w:szCs w:val="22"/>
              </w:rPr>
            </w:pPr>
            <w:r w:rsidRPr="005E3D5C">
              <w:rPr>
                <w:rFonts w:cs="Arial"/>
                <w:szCs w:val="22"/>
              </w:rPr>
              <w:t xml:space="preserve">The proposed modifications will continue to </w:t>
            </w:r>
            <w:r w:rsidR="00DB069A" w:rsidRPr="005E3D5C">
              <w:rPr>
                <w:rFonts w:cs="Arial"/>
                <w:szCs w:val="22"/>
              </w:rPr>
              <w:t>retain the open space and landscape features of White City</w:t>
            </w:r>
            <w:r w:rsidR="00A0403C" w:rsidRPr="005E3D5C">
              <w:rPr>
                <w:rFonts w:cs="Arial"/>
                <w:szCs w:val="22"/>
              </w:rPr>
              <w:t>,</w:t>
            </w:r>
            <w:r w:rsidR="00DB069A" w:rsidRPr="005E3D5C">
              <w:rPr>
                <w:rFonts w:cs="Arial"/>
                <w:szCs w:val="22"/>
              </w:rPr>
              <w:t xml:space="preserve"> which complies.</w:t>
            </w:r>
          </w:p>
          <w:p w14:paraId="13C40E82" w14:textId="77777777" w:rsidR="000D5362" w:rsidRPr="005E3D5C" w:rsidRDefault="000D5362" w:rsidP="000D5362">
            <w:pPr>
              <w:rPr>
                <w:rFonts w:cs="Arial"/>
                <w:szCs w:val="22"/>
              </w:rPr>
            </w:pPr>
          </w:p>
          <w:p w14:paraId="636D3E08" w14:textId="77777777" w:rsidR="000D5362" w:rsidRPr="005E3D5C" w:rsidRDefault="000D5362" w:rsidP="000D5362">
            <w:pPr>
              <w:rPr>
                <w:rFonts w:cs="Arial"/>
                <w:szCs w:val="22"/>
              </w:rPr>
            </w:pPr>
            <w:r w:rsidRPr="005E3D5C">
              <w:rPr>
                <w:rFonts w:cs="Arial"/>
                <w:szCs w:val="22"/>
              </w:rPr>
              <w:t>Clause 1.2.4 Desired future character</w:t>
            </w:r>
          </w:p>
          <w:p w14:paraId="30039F01" w14:textId="68EBEB80" w:rsidR="008472DE" w:rsidRPr="005E3D5C" w:rsidRDefault="0062549F" w:rsidP="00401641">
            <w:pPr>
              <w:numPr>
                <w:ilvl w:val="0"/>
                <w:numId w:val="2"/>
              </w:numPr>
              <w:rPr>
                <w:rFonts w:cs="Arial"/>
                <w:szCs w:val="22"/>
              </w:rPr>
            </w:pPr>
            <w:r w:rsidRPr="005E3D5C">
              <w:rPr>
                <w:color w:val="000000"/>
                <w:szCs w:val="24"/>
                <w:lang w:val="en-US"/>
              </w:rPr>
              <w:t>The proposal</w:t>
            </w:r>
            <w:r w:rsidR="00A0403C" w:rsidRPr="005E3D5C">
              <w:rPr>
                <w:color w:val="000000"/>
                <w:szCs w:val="24"/>
                <w:lang w:val="en-US"/>
              </w:rPr>
              <w:t xml:space="preserve"> is cons</w:t>
            </w:r>
            <w:r w:rsidRPr="005E3D5C">
              <w:rPr>
                <w:color w:val="000000"/>
                <w:szCs w:val="24"/>
                <w:lang w:val="en-US"/>
              </w:rPr>
              <w:t>istent with the objectives of the desired future character and the character elements of Paddington, including open space and landscape features.</w:t>
            </w:r>
          </w:p>
          <w:p w14:paraId="2231D08C" w14:textId="032BD06C" w:rsidR="0062549F" w:rsidRPr="005E3D5C" w:rsidRDefault="0062549F" w:rsidP="00801608">
            <w:pPr>
              <w:autoSpaceDE w:val="0"/>
              <w:autoSpaceDN w:val="0"/>
              <w:adjustRightInd w:val="0"/>
              <w:spacing w:line="240" w:lineRule="atLeast"/>
              <w:rPr>
                <w:color w:val="000000"/>
                <w:szCs w:val="24"/>
                <w:lang w:val="en-US"/>
              </w:rPr>
            </w:pPr>
          </w:p>
          <w:p w14:paraId="35C17F4E" w14:textId="77777777" w:rsidR="0062549F" w:rsidRPr="005E3D5C" w:rsidRDefault="0062549F" w:rsidP="0062549F">
            <w:pPr>
              <w:rPr>
                <w:rFonts w:cs="Arial"/>
                <w:b/>
                <w:i/>
                <w:szCs w:val="22"/>
              </w:rPr>
            </w:pPr>
            <w:r w:rsidRPr="005E3D5C">
              <w:rPr>
                <w:rFonts w:cs="Arial"/>
                <w:b/>
                <w:i/>
                <w:szCs w:val="22"/>
              </w:rPr>
              <w:t>SPECIFIC POLICY FOR BUILDING AND SITE ELEMENTS</w:t>
            </w:r>
          </w:p>
          <w:p w14:paraId="5B3D9B7E" w14:textId="77777777" w:rsidR="0062549F" w:rsidRPr="005E3D5C" w:rsidRDefault="0062549F" w:rsidP="0062549F">
            <w:pPr>
              <w:rPr>
                <w:rFonts w:cs="Arial"/>
                <w:szCs w:val="22"/>
              </w:rPr>
            </w:pPr>
          </w:p>
          <w:p w14:paraId="69BE071D" w14:textId="6269701B" w:rsidR="00A0403C" w:rsidRPr="005E3D5C" w:rsidRDefault="00A0403C" w:rsidP="0062549F">
            <w:pPr>
              <w:rPr>
                <w:rFonts w:cs="Arial"/>
                <w:szCs w:val="22"/>
              </w:rPr>
            </w:pPr>
            <w:r w:rsidRPr="005E3D5C">
              <w:rPr>
                <w:rFonts w:cs="Arial"/>
                <w:szCs w:val="22"/>
              </w:rPr>
              <w:t>Clause 1.5.1 Dormers and skylights</w:t>
            </w:r>
          </w:p>
          <w:p w14:paraId="01FEB2F3" w14:textId="79FAD432" w:rsidR="00A0403C" w:rsidRPr="005E3D5C" w:rsidRDefault="00A0403C" w:rsidP="0062549F">
            <w:pPr>
              <w:rPr>
                <w:rFonts w:cs="Arial"/>
                <w:szCs w:val="22"/>
              </w:rPr>
            </w:pPr>
            <w:r w:rsidRPr="005E3D5C">
              <w:rPr>
                <w:rFonts w:cs="Arial"/>
                <w:szCs w:val="22"/>
              </w:rPr>
              <w:lastRenderedPageBreak/>
              <w:t>Control C28</w:t>
            </w:r>
          </w:p>
          <w:p w14:paraId="26AB81BB" w14:textId="07F66752" w:rsidR="00A0403C" w:rsidRPr="005E3D5C" w:rsidRDefault="00A0403C" w:rsidP="00401641">
            <w:pPr>
              <w:pStyle w:val="ListParagraph"/>
              <w:numPr>
                <w:ilvl w:val="0"/>
                <w:numId w:val="5"/>
              </w:numPr>
              <w:rPr>
                <w:rFonts w:cs="Arial"/>
                <w:szCs w:val="22"/>
              </w:rPr>
            </w:pPr>
            <w:r w:rsidRPr="005E3D5C">
              <w:rPr>
                <w:rFonts w:cs="Arial"/>
                <w:szCs w:val="22"/>
              </w:rPr>
              <w:t>The proposal includes the relocation of three skylights, which is supported in principle. The skylights are to be of a low profile and flush with the roof surface in order to comply. A condition of consent will be provided below.</w:t>
            </w:r>
          </w:p>
          <w:p w14:paraId="08F800DC" w14:textId="20307379" w:rsidR="00A0403C" w:rsidRPr="005E3D5C" w:rsidRDefault="00A0403C" w:rsidP="0062549F">
            <w:pPr>
              <w:rPr>
                <w:rFonts w:cs="Arial"/>
                <w:szCs w:val="22"/>
              </w:rPr>
            </w:pPr>
          </w:p>
          <w:p w14:paraId="6583078A" w14:textId="69230110" w:rsidR="0062549F" w:rsidRPr="005E3D5C" w:rsidRDefault="0062549F" w:rsidP="0062549F">
            <w:pPr>
              <w:rPr>
                <w:rFonts w:cs="Arial"/>
                <w:szCs w:val="22"/>
              </w:rPr>
            </w:pPr>
            <w:r w:rsidRPr="005E3D5C">
              <w:rPr>
                <w:rFonts w:cs="Arial"/>
                <w:szCs w:val="22"/>
              </w:rPr>
              <w:t>Clause 1.5.8 Materials, finishes and details</w:t>
            </w:r>
          </w:p>
          <w:p w14:paraId="6EC52002" w14:textId="77777777" w:rsidR="0062549F" w:rsidRPr="005E3D5C" w:rsidRDefault="0062549F" w:rsidP="0062549F">
            <w:pPr>
              <w:rPr>
                <w:rFonts w:cs="Arial"/>
                <w:szCs w:val="22"/>
              </w:rPr>
            </w:pPr>
            <w:r w:rsidRPr="005E3D5C">
              <w:rPr>
                <w:rFonts w:cs="Arial"/>
                <w:szCs w:val="22"/>
              </w:rPr>
              <w:t>Objectives O2</w:t>
            </w:r>
          </w:p>
          <w:p w14:paraId="1B69D5A1" w14:textId="77777777" w:rsidR="0062549F" w:rsidRPr="005E3D5C" w:rsidRDefault="0062549F" w:rsidP="0062549F">
            <w:pPr>
              <w:rPr>
                <w:rFonts w:cs="Arial"/>
                <w:szCs w:val="22"/>
              </w:rPr>
            </w:pPr>
            <w:r w:rsidRPr="005E3D5C">
              <w:rPr>
                <w:rFonts w:cs="Arial"/>
                <w:szCs w:val="22"/>
              </w:rPr>
              <w:t>Controls C4</w:t>
            </w:r>
          </w:p>
          <w:p w14:paraId="4635405A" w14:textId="4895C15B" w:rsidR="0062549F" w:rsidRPr="005E3D5C" w:rsidRDefault="00952B73" w:rsidP="00401641">
            <w:pPr>
              <w:numPr>
                <w:ilvl w:val="0"/>
                <w:numId w:val="2"/>
              </w:numPr>
              <w:rPr>
                <w:rFonts w:cs="Arial"/>
                <w:szCs w:val="22"/>
              </w:rPr>
            </w:pPr>
            <w:r w:rsidRPr="005E3D5C">
              <w:rPr>
                <w:rFonts w:cs="Arial"/>
                <w:szCs w:val="22"/>
              </w:rPr>
              <w:t xml:space="preserve">The proposal includes modifications to the materiality of the gym and the new clubhouse. The approved materials were clearly contemporary, while employing a traditional approach through the use of metal cladding. </w:t>
            </w:r>
            <w:r w:rsidR="007A769B" w:rsidRPr="005E3D5C">
              <w:rPr>
                <w:rFonts w:cs="Arial"/>
                <w:szCs w:val="22"/>
              </w:rPr>
              <w:t>The</w:t>
            </w:r>
            <w:r w:rsidRPr="005E3D5C">
              <w:rPr>
                <w:rFonts w:cs="Arial"/>
                <w:szCs w:val="22"/>
              </w:rPr>
              <w:t xml:space="preserve"> new materiality would consist of clearly contemporary materials, combined with some traditional materials – dry pack stone</w:t>
            </w:r>
            <w:r w:rsidR="007A769B" w:rsidRPr="005E3D5C">
              <w:rPr>
                <w:rFonts w:cs="Arial"/>
                <w:szCs w:val="22"/>
              </w:rPr>
              <w:t xml:space="preserve">. The modifications </w:t>
            </w:r>
            <w:r w:rsidRPr="005E3D5C">
              <w:rPr>
                <w:rFonts w:cs="Arial"/>
                <w:szCs w:val="22"/>
              </w:rPr>
              <w:t xml:space="preserve">are generally in keeping with the approved development and would not be seen to have any adverse impact on the heritage significance of the subject site or the Paddington HCA. </w:t>
            </w:r>
            <w:r w:rsidR="007A769B" w:rsidRPr="005E3D5C">
              <w:rPr>
                <w:rFonts w:cs="Arial"/>
                <w:szCs w:val="22"/>
              </w:rPr>
              <w:t xml:space="preserve">It is therefore supported from a heritage perspective and complies. </w:t>
            </w:r>
          </w:p>
          <w:p w14:paraId="43D64A5A" w14:textId="46504135" w:rsidR="00952B73" w:rsidRPr="005E3D5C" w:rsidRDefault="007A769B" w:rsidP="00401641">
            <w:pPr>
              <w:numPr>
                <w:ilvl w:val="0"/>
                <w:numId w:val="2"/>
              </w:numPr>
              <w:rPr>
                <w:rFonts w:cs="Arial"/>
                <w:szCs w:val="22"/>
              </w:rPr>
            </w:pPr>
            <w:r w:rsidRPr="005E3D5C">
              <w:rPr>
                <w:rFonts w:cs="Arial"/>
                <w:szCs w:val="22"/>
              </w:rPr>
              <w:t xml:space="preserve">The proposal also includes modifications to the design and materiality of the entry gate along Glenmore Road. The new wall would be of a rendered and painted masonry construction while the gate would be of timber construction. The proposed materiality is supported from a heritage perspective and would not have an adverse impact on the Glenmore Road streetscape or the Paddington HCA. </w:t>
            </w:r>
          </w:p>
          <w:p w14:paraId="03F2A5C0" w14:textId="77777777" w:rsidR="0062549F" w:rsidRPr="005E3D5C" w:rsidRDefault="0062549F" w:rsidP="0062549F">
            <w:pPr>
              <w:rPr>
                <w:rFonts w:cs="Arial"/>
                <w:szCs w:val="22"/>
              </w:rPr>
            </w:pPr>
          </w:p>
          <w:p w14:paraId="0ECD5D31" w14:textId="77777777" w:rsidR="0062549F" w:rsidRPr="005E3D5C" w:rsidRDefault="0062549F" w:rsidP="0062549F">
            <w:pPr>
              <w:rPr>
                <w:rFonts w:cs="Arial"/>
                <w:szCs w:val="22"/>
              </w:rPr>
            </w:pPr>
            <w:r w:rsidRPr="005E3D5C">
              <w:rPr>
                <w:rFonts w:cs="Arial"/>
                <w:szCs w:val="22"/>
              </w:rPr>
              <w:t>Clause 1.5.9 Exterior colours</w:t>
            </w:r>
          </w:p>
          <w:p w14:paraId="777CDB3E" w14:textId="45C3592A" w:rsidR="0062549F" w:rsidRPr="005E3D5C" w:rsidRDefault="007A769B" w:rsidP="0062549F">
            <w:pPr>
              <w:rPr>
                <w:rFonts w:cs="Arial"/>
                <w:szCs w:val="22"/>
              </w:rPr>
            </w:pPr>
            <w:r w:rsidRPr="005E3D5C">
              <w:rPr>
                <w:rFonts w:cs="Arial"/>
                <w:szCs w:val="22"/>
              </w:rPr>
              <w:t>Objective O1</w:t>
            </w:r>
          </w:p>
          <w:p w14:paraId="0BF3CD71" w14:textId="660436D9" w:rsidR="0062549F" w:rsidRPr="005E3D5C" w:rsidRDefault="0062549F" w:rsidP="0062549F">
            <w:pPr>
              <w:rPr>
                <w:rFonts w:cs="Arial"/>
                <w:szCs w:val="22"/>
              </w:rPr>
            </w:pPr>
            <w:r w:rsidRPr="005E3D5C">
              <w:rPr>
                <w:rFonts w:cs="Arial"/>
                <w:szCs w:val="22"/>
              </w:rPr>
              <w:t>Controls</w:t>
            </w:r>
            <w:r w:rsidR="007A769B" w:rsidRPr="005E3D5C">
              <w:rPr>
                <w:rFonts w:cs="Arial"/>
                <w:szCs w:val="22"/>
              </w:rPr>
              <w:t xml:space="preserve"> C1, C9</w:t>
            </w:r>
          </w:p>
          <w:p w14:paraId="040036D1" w14:textId="11AFCC0E" w:rsidR="00C87618" w:rsidRPr="005E3D5C" w:rsidRDefault="007A769B" w:rsidP="00401641">
            <w:pPr>
              <w:numPr>
                <w:ilvl w:val="0"/>
                <w:numId w:val="2"/>
              </w:numPr>
              <w:rPr>
                <w:rFonts w:cs="Arial"/>
                <w:szCs w:val="22"/>
              </w:rPr>
            </w:pPr>
            <w:r w:rsidRPr="005E3D5C">
              <w:rPr>
                <w:rFonts w:cs="Arial"/>
                <w:szCs w:val="22"/>
              </w:rPr>
              <w:t>The proposed colour scheme continue to be generally muted and in keeping with the heritage significance of the Paddington HCA. It is therefore supported and complies.</w:t>
            </w:r>
          </w:p>
        </w:tc>
      </w:tr>
    </w:tbl>
    <w:p w14:paraId="18E917B4" w14:textId="1F1B03D9" w:rsidR="007E6FAE" w:rsidRPr="005E3D5C" w:rsidRDefault="007E6FAE" w:rsidP="007E6FAE">
      <w:pPr>
        <w:rPr>
          <w:rFonts w:cs="Arial"/>
          <w:b/>
          <w:szCs w:val="24"/>
        </w:rPr>
      </w:pPr>
    </w:p>
    <w:p w14:paraId="6A6F6615" w14:textId="1CEEAE4A" w:rsidR="00AD3637" w:rsidRPr="005E3D5C" w:rsidRDefault="00AD3637" w:rsidP="007E6FAE">
      <w:pPr>
        <w:rPr>
          <w:rFonts w:cs="Arial"/>
          <w:b/>
          <w:szCs w:val="24"/>
        </w:rPr>
      </w:pPr>
      <w:r w:rsidRPr="005E3D5C">
        <w:rPr>
          <w:rFonts w:cs="Arial"/>
          <w:u w:val="single"/>
        </w:rPr>
        <w:t>Conservation Management Plan</w:t>
      </w:r>
      <w:r w:rsidR="00CC3EDB" w:rsidRPr="005E3D5C">
        <w:rPr>
          <w:rFonts w:cs="Arial"/>
          <w:u w:val="single"/>
        </w:rPr>
        <w:t xml:space="preserve"> (CMP) by </w:t>
      </w:r>
      <w:r w:rsidR="00981C2A" w:rsidRPr="005E3D5C">
        <w:rPr>
          <w:rFonts w:cs="Arial"/>
          <w:u w:val="single"/>
        </w:rPr>
        <w:t>Conybeare Morrison dated April 2008</w:t>
      </w:r>
    </w:p>
    <w:p w14:paraId="63F4542F" w14:textId="21007DC5" w:rsidR="00AD3637" w:rsidRPr="005E3D5C" w:rsidRDefault="00AD3637" w:rsidP="007E6FAE">
      <w:pPr>
        <w:rPr>
          <w:rFonts w:cs="Arial"/>
          <w:b/>
          <w:szCs w:val="24"/>
        </w:rPr>
      </w:pPr>
    </w:p>
    <w:p w14:paraId="081C3902" w14:textId="63262F2F" w:rsidR="00CC3EDB" w:rsidRPr="005E3D5C" w:rsidRDefault="00CC3EDB" w:rsidP="00CC3EDB">
      <w:pPr>
        <w:pBdr>
          <w:top w:val="single" w:sz="4" w:space="1" w:color="auto"/>
          <w:left w:val="single" w:sz="4" w:space="4" w:color="auto"/>
          <w:bottom w:val="single" w:sz="4" w:space="1" w:color="auto"/>
          <w:right w:val="single" w:sz="4" w:space="4" w:color="auto"/>
        </w:pBdr>
        <w:rPr>
          <w:rFonts w:cs="Arial"/>
        </w:rPr>
      </w:pPr>
      <w:r w:rsidRPr="005E3D5C">
        <w:rPr>
          <w:rFonts w:cs="Arial"/>
        </w:rPr>
        <w:t xml:space="preserve">The </w:t>
      </w:r>
      <w:r w:rsidR="00981C2A" w:rsidRPr="005E3D5C">
        <w:rPr>
          <w:rFonts w:cs="Arial"/>
        </w:rPr>
        <w:t>CMP by Conybeare Morrison dated April 2008</w:t>
      </w:r>
      <w:r w:rsidRPr="005E3D5C">
        <w:rPr>
          <w:rFonts w:cs="Arial"/>
        </w:rPr>
        <w:t xml:space="preserve"> provides </w:t>
      </w:r>
      <w:r w:rsidR="00981C2A" w:rsidRPr="005E3D5C">
        <w:rPr>
          <w:rFonts w:cs="Arial"/>
        </w:rPr>
        <w:t xml:space="preserve">conservation policies so that the cultural significance of the site is retained and enhanced. The proposed modifications to the approved development have been assessed against the conservation policies outlined in Section 6.0 of the CMP. </w:t>
      </w:r>
    </w:p>
    <w:p w14:paraId="552DE1BF" w14:textId="4952C5BD" w:rsidR="00374E3C" w:rsidRPr="005E3D5C" w:rsidRDefault="00374E3C" w:rsidP="00CC3EDB">
      <w:pPr>
        <w:pBdr>
          <w:top w:val="single" w:sz="4" w:space="1" w:color="auto"/>
          <w:left w:val="single" w:sz="4" w:space="4" w:color="auto"/>
          <w:bottom w:val="single" w:sz="4" w:space="1" w:color="auto"/>
          <w:right w:val="single" w:sz="4" w:space="4" w:color="auto"/>
        </w:pBdr>
        <w:rPr>
          <w:rFonts w:cs="Arial"/>
        </w:rPr>
      </w:pPr>
    </w:p>
    <w:p w14:paraId="1A03B477" w14:textId="77777777" w:rsidR="00E35E86" w:rsidRDefault="00981C2A" w:rsidP="00E35E86">
      <w:pPr>
        <w:pBdr>
          <w:top w:val="single" w:sz="4" w:space="1" w:color="auto"/>
          <w:left w:val="single" w:sz="4" w:space="4" w:color="auto"/>
          <w:bottom w:val="single" w:sz="4" w:space="1" w:color="auto"/>
          <w:right w:val="single" w:sz="4" w:space="4" w:color="auto"/>
        </w:pBdr>
        <w:rPr>
          <w:rFonts w:cs="Arial"/>
        </w:rPr>
      </w:pPr>
      <w:r w:rsidRPr="005E3D5C">
        <w:rPr>
          <w:rFonts w:cs="Arial"/>
        </w:rPr>
        <w:t>The following consideration is provided:</w:t>
      </w:r>
    </w:p>
    <w:p w14:paraId="5930DB79" w14:textId="77777777" w:rsidR="00E35E86" w:rsidRDefault="00E35E86" w:rsidP="00E35E86">
      <w:pPr>
        <w:pBdr>
          <w:top w:val="single" w:sz="4" w:space="1" w:color="auto"/>
          <w:left w:val="single" w:sz="4" w:space="4" w:color="auto"/>
          <w:bottom w:val="single" w:sz="4" w:space="1" w:color="auto"/>
          <w:right w:val="single" w:sz="4" w:space="4" w:color="auto"/>
        </w:pBdr>
        <w:rPr>
          <w:rFonts w:cs="Arial"/>
        </w:rPr>
      </w:pPr>
    </w:p>
    <w:p w14:paraId="3467AA2F" w14:textId="3D5699BD" w:rsidR="00374E3C" w:rsidRPr="008A27A4" w:rsidRDefault="00B07D30" w:rsidP="005E3D5C">
      <w:pPr>
        <w:pBdr>
          <w:top w:val="single" w:sz="4" w:space="1" w:color="auto"/>
          <w:left w:val="single" w:sz="4" w:space="4" w:color="auto"/>
          <w:bottom w:val="single" w:sz="4" w:space="1" w:color="auto"/>
          <w:right w:val="single" w:sz="4" w:space="4" w:color="auto"/>
        </w:pBdr>
        <w:rPr>
          <w:rFonts w:cs="Arial"/>
        </w:rPr>
      </w:pPr>
      <w:r>
        <w:rPr>
          <w:rFonts w:cs="Arial"/>
        </w:rPr>
        <w:t xml:space="preserve">The proposed modifications to the approved DA are minor and include changes to the approved new materiality of the gym and clubhouse, relocation of three skylights along the roof of the approved gym, the addition of a climbing wall and a new design for the Glenmore Road pedestrian entry. </w:t>
      </w:r>
      <w:r w:rsidR="00E35E86" w:rsidRPr="005E3D5C">
        <w:rPr>
          <w:rFonts w:cs="Arial"/>
          <w:szCs w:val="22"/>
        </w:rPr>
        <w:t xml:space="preserve">The </w:t>
      </w:r>
      <w:r w:rsidR="00E35E86">
        <w:rPr>
          <w:rFonts w:cs="Arial"/>
          <w:szCs w:val="22"/>
        </w:rPr>
        <w:t>works</w:t>
      </w:r>
      <w:r w:rsidR="00E35E86" w:rsidRPr="005E3D5C">
        <w:rPr>
          <w:rFonts w:cs="Arial"/>
          <w:szCs w:val="22"/>
        </w:rPr>
        <w:t xml:space="preserve"> will continue to retain the open space and landscape features of White City</w:t>
      </w:r>
      <w:r w:rsidR="00E35E86">
        <w:rPr>
          <w:rFonts w:cs="Arial"/>
          <w:szCs w:val="22"/>
        </w:rPr>
        <w:t>. In addition, there would be no works to the significant fabric of the site which was being retained as part of the original proposal.</w:t>
      </w:r>
      <w:r w:rsidR="008A27A4">
        <w:rPr>
          <w:rFonts w:cs="Arial"/>
        </w:rPr>
        <w:t xml:space="preserve"> </w:t>
      </w:r>
      <w:r>
        <w:rPr>
          <w:rFonts w:cs="Arial"/>
        </w:rPr>
        <w:t xml:space="preserve">As discussed above, the proposed new </w:t>
      </w:r>
      <w:r w:rsidR="005E3D5C">
        <w:rPr>
          <w:rFonts w:cs="Arial"/>
        </w:rPr>
        <w:t xml:space="preserve">works including the new materials for the buildings and the entry would be </w:t>
      </w:r>
      <w:r>
        <w:rPr>
          <w:rFonts w:cs="Arial"/>
        </w:rPr>
        <w:t xml:space="preserve">in keeping with the approved and would </w:t>
      </w:r>
      <w:r w:rsidR="005E3D5C">
        <w:rPr>
          <w:rFonts w:cs="Arial"/>
        </w:rPr>
        <w:t>not have a negative impact on the cultural significance of the property. The remainder of the works are considered to be minor and would not have any adverse impacts. The works are generally in compliance with the policies of the CMP and supported from a heritage perspective.</w:t>
      </w:r>
    </w:p>
    <w:p w14:paraId="3D1D6690" w14:textId="77777777" w:rsidR="00AD3637" w:rsidRPr="00AD3637" w:rsidRDefault="00AD3637" w:rsidP="00AD3637">
      <w:pPr>
        <w:rPr>
          <w:rFonts w:cs="Arial"/>
          <w:b/>
          <w:highlight w:val="yellow"/>
        </w:rPr>
      </w:pPr>
    </w:p>
    <w:p w14:paraId="2AE5A75D" w14:textId="77777777" w:rsidR="00AD3637" w:rsidRPr="008717F9" w:rsidRDefault="00AD3637" w:rsidP="007E6FAE">
      <w:pPr>
        <w:rPr>
          <w:rFonts w:cs="Arial"/>
          <w:b/>
          <w:szCs w:val="24"/>
        </w:rPr>
      </w:pPr>
    </w:p>
    <w:p w14:paraId="413F216B" w14:textId="77777777" w:rsidR="007E6FAE" w:rsidRPr="008717F9" w:rsidRDefault="007E6FAE" w:rsidP="00401641">
      <w:pPr>
        <w:pStyle w:val="ListParagraph"/>
        <w:numPr>
          <w:ilvl w:val="0"/>
          <w:numId w:val="7"/>
        </w:numPr>
        <w:rPr>
          <w:rFonts w:cs="Arial"/>
          <w:b/>
          <w:szCs w:val="24"/>
        </w:rPr>
      </w:pPr>
      <w:r w:rsidRPr="008717F9">
        <w:rPr>
          <w:rFonts w:cs="Arial"/>
          <w:b/>
          <w:szCs w:val="24"/>
        </w:rPr>
        <w:t>CONCLUSION</w:t>
      </w:r>
    </w:p>
    <w:p w14:paraId="2DF1D539" w14:textId="77777777" w:rsidR="007E6FAE" w:rsidRPr="008717F9" w:rsidRDefault="007E6FAE" w:rsidP="007E6FAE">
      <w:pPr>
        <w:rPr>
          <w:rFonts w:cs="Arial"/>
          <w:b/>
          <w:szCs w:val="24"/>
        </w:rPr>
      </w:pPr>
    </w:p>
    <w:p w14:paraId="318DACE5" w14:textId="77777777" w:rsidR="007E6FAE" w:rsidRPr="008717F9" w:rsidRDefault="007E6FAE" w:rsidP="007E6FAE">
      <w:pPr>
        <w:tabs>
          <w:tab w:val="left" w:pos="567"/>
        </w:tabs>
        <w:autoSpaceDE w:val="0"/>
        <w:autoSpaceDN w:val="0"/>
        <w:adjustRightInd w:val="0"/>
        <w:rPr>
          <w:rFonts w:cs="Arial"/>
          <w:szCs w:val="24"/>
          <w:u w:val="single"/>
          <w:lang w:eastAsia="en-AU"/>
        </w:rPr>
      </w:pPr>
      <w:r w:rsidRPr="008717F9">
        <w:rPr>
          <w:rFonts w:cs="Arial"/>
          <w:szCs w:val="24"/>
          <w:u w:val="single"/>
          <w:lang w:eastAsia="en-AU"/>
        </w:rPr>
        <w:t>Woollahra LEP 2014</w:t>
      </w:r>
    </w:p>
    <w:p w14:paraId="232EA815" w14:textId="77777777" w:rsidR="007E6FAE" w:rsidRPr="008717F9" w:rsidRDefault="007E6FAE" w:rsidP="007E6FAE">
      <w:pPr>
        <w:tabs>
          <w:tab w:val="left" w:pos="567"/>
        </w:tabs>
        <w:autoSpaceDE w:val="0"/>
        <w:autoSpaceDN w:val="0"/>
        <w:adjustRightInd w:val="0"/>
        <w:ind w:left="567" w:hanging="567"/>
        <w:rPr>
          <w:rFonts w:cs="Arial"/>
          <w:i/>
          <w:szCs w:val="24"/>
          <w:lang w:eastAsia="en-AU"/>
        </w:rPr>
      </w:pPr>
      <w:r w:rsidRPr="008717F9">
        <w:rPr>
          <w:rFonts w:cs="Arial"/>
          <w:i/>
          <w:szCs w:val="24"/>
          <w:lang w:eastAsia="en-AU"/>
        </w:rPr>
        <w:t xml:space="preserve">Part 5.10 </w:t>
      </w:r>
    </w:p>
    <w:p w14:paraId="4FF2EDC4" w14:textId="77777777" w:rsidR="007E6FAE" w:rsidRPr="00892E50" w:rsidRDefault="007E6FAE" w:rsidP="00401641">
      <w:pPr>
        <w:pStyle w:val="ListParagraph"/>
        <w:numPr>
          <w:ilvl w:val="0"/>
          <w:numId w:val="2"/>
        </w:numPr>
        <w:tabs>
          <w:tab w:val="left" w:pos="567"/>
        </w:tabs>
        <w:autoSpaceDE w:val="0"/>
        <w:autoSpaceDN w:val="0"/>
        <w:adjustRightInd w:val="0"/>
        <w:rPr>
          <w:rFonts w:cs="Arial"/>
          <w:szCs w:val="24"/>
          <w:lang w:eastAsia="en-AU"/>
        </w:rPr>
      </w:pPr>
      <w:r w:rsidRPr="00892E50">
        <w:rPr>
          <w:rFonts w:cs="Arial"/>
          <w:szCs w:val="24"/>
          <w:lang w:eastAsia="en-AU"/>
        </w:rPr>
        <w:lastRenderedPageBreak/>
        <w:t>Clause 1(a</w:t>
      </w:r>
      <w:r w:rsidR="008717F9" w:rsidRPr="00892E50">
        <w:rPr>
          <w:rFonts w:cs="Arial"/>
          <w:szCs w:val="24"/>
          <w:lang w:eastAsia="en-AU"/>
        </w:rPr>
        <w:t xml:space="preserve">) The development does </w:t>
      </w:r>
      <w:r w:rsidRPr="00892E50">
        <w:rPr>
          <w:rFonts w:cs="Arial"/>
          <w:szCs w:val="24"/>
          <w:lang w:eastAsia="en-AU"/>
        </w:rPr>
        <w:t>conserve the heritage of Woollahra.</w:t>
      </w:r>
    </w:p>
    <w:p w14:paraId="359864A0" w14:textId="77777777" w:rsidR="007E6FAE" w:rsidRPr="008717F9" w:rsidRDefault="007E6FAE" w:rsidP="00401641">
      <w:pPr>
        <w:pStyle w:val="ListParagraph"/>
        <w:numPr>
          <w:ilvl w:val="0"/>
          <w:numId w:val="2"/>
        </w:numPr>
        <w:tabs>
          <w:tab w:val="left" w:pos="567"/>
        </w:tabs>
        <w:autoSpaceDE w:val="0"/>
        <w:autoSpaceDN w:val="0"/>
        <w:adjustRightInd w:val="0"/>
        <w:rPr>
          <w:rFonts w:cs="Arial"/>
          <w:szCs w:val="24"/>
          <w:lang w:eastAsia="en-AU"/>
        </w:rPr>
      </w:pPr>
      <w:r w:rsidRPr="008717F9">
        <w:rPr>
          <w:rFonts w:cs="Arial"/>
          <w:szCs w:val="24"/>
          <w:lang w:eastAsia="en-AU"/>
        </w:rPr>
        <w:t>Clause 1(b) The impact upon the heritage significance of the co</w:t>
      </w:r>
      <w:r w:rsidR="008717F9" w:rsidRPr="008717F9">
        <w:rPr>
          <w:rFonts w:cs="Arial"/>
          <w:szCs w:val="24"/>
          <w:lang w:eastAsia="en-AU"/>
        </w:rPr>
        <w:t>nservation area will be neutral.</w:t>
      </w:r>
      <w:r w:rsidRPr="008717F9">
        <w:rPr>
          <w:rFonts w:cs="Arial"/>
          <w:szCs w:val="24"/>
          <w:lang w:eastAsia="en-AU"/>
        </w:rPr>
        <w:t xml:space="preserve"> </w:t>
      </w:r>
    </w:p>
    <w:p w14:paraId="32592199" w14:textId="77777777" w:rsidR="007E6FAE" w:rsidRPr="008717F9" w:rsidRDefault="007E6FAE" w:rsidP="00401641">
      <w:pPr>
        <w:pStyle w:val="ListParagraph"/>
        <w:numPr>
          <w:ilvl w:val="0"/>
          <w:numId w:val="2"/>
        </w:numPr>
        <w:tabs>
          <w:tab w:val="left" w:pos="567"/>
        </w:tabs>
        <w:autoSpaceDE w:val="0"/>
        <w:autoSpaceDN w:val="0"/>
        <w:adjustRightInd w:val="0"/>
        <w:rPr>
          <w:rFonts w:cs="Arial"/>
          <w:szCs w:val="24"/>
          <w:lang w:eastAsia="en-AU"/>
        </w:rPr>
      </w:pPr>
      <w:r w:rsidRPr="008717F9">
        <w:rPr>
          <w:rFonts w:cs="Arial"/>
          <w:szCs w:val="24"/>
          <w:lang w:eastAsia="en-AU"/>
        </w:rPr>
        <w:t>Clause 4 This referral constitutes an assessment under this clause.</w:t>
      </w:r>
    </w:p>
    <w:p w14:paraId="206AAB66" w14:textId="77777777" w:rsidR="007E6FAE" w:rsidRPr="008717F9" w:rsidRDefault="007E6FAE" w:rsidP="007E6FAE">
      <w:pPr>
        <w:rPr>
          <w:rFonts w:cs="Arial"/>
          <w:b/>
          <w:szCs w:val="24"/>
        </w:rPr>
      </w:pPr>
    </w:p>
    <w:p w14:paraId="373E201A" w14:textId="77777777" w:rsidR="007E6FAE" w:rsidRPr="008717F9" w:rsidRDefault="007E6FAE" w:rsidP="00401641">
      <w:pPr>
        <w:pStyle w:val="ListParagraph"/>
        <w:numPr>
          <w:ilvl w:val="0"/>
          <w:numId w:val="7"/>
        </w:numPr>
        <w:rPr>
          <w:rFonts w:cs="Arial"/>
          <w:szCs w:val="24"/>
        </w:rPr>
      </w:pPr>
      <w:r w:rsidRPr="008717F9">
        <w:rPr>
          <w:rFonts w:cs="Arial"/>
          <w:b/>
          <w:szCs w:val="24"/>
        </w:rPr>
        <w:t>RECOMMENDATION</w:t>
      </w:r>
    </w:p>
    <w:p w14:paraId="65625A30" w14:textId="77777777" w:rsidR="007E6FAE" w:rsidRPr="008717F9" w:rsidRDefault="007E6FAE" w:rsidP="007E6FAE">
      <w:pPr>
        <w:rPr>
          <w:rFonts w:cs="Arial"/>
        </w:rPr>
      </w:pPr>
    </w:p>
    <w:p w14:paraId="092ACDFD" w14:textId="77777777" w:rsidR="007E6FAE" w:rsidRPr="008717F9" w:rsidRDefault="007E6FAE" w:rsidP="008717F9">
      <w:pPr>
        <w:rPr>
          <w:rFonts w:cs="Arial"/>
        </w:rPr>
      </w:pPr>
      <w:r w:rsidRPr="008717F9">
        <w:rPr>
          <w:rFonts w:cs="Arial"/>
        </w:rPr>
        <w:t>The proposal is generally acceptable, subject to conditions, as it complies with the relevant statutory and policy documents and would have a satisfactory impact.</w:t>
      </w:r>
    </w:p>
    <w:p w14:paraId="4A2D21A0" w14:textId="77777777" w:rsidR="007E6FAE" w:rsidRPr="008717F9" w:rsidRDefault="007E6FAE" w:rsidP="007E6FAE">
      <w:pPr>
        <w:pStyle w:val="ListParagraph"/>
        <w:ind w:left="284"/>
        <w:rPr>
          <w:rFonts w:cs="Arial"/>
        </w:rPr>
      </w:pPr>
    </w:p>
    <w:p w14:paraId="406FD23D" w14:textId="10E5894E" w:rsidR="007E6FAE" w:rsidRPr="005E3D5C" w:rsidRDefault="007E6FAE" w:rsidP="005E3D5C">
      <w:pPr>
        <w:pStyle w:val="ListParagraph"/>
        <w:ind w:left="284"/>
        <w:rPr>
          <w:rFonts w:cs="Arial"/>
        </w:rPr>
      </w:pPr>
      <w:r w:rsidRPr="005E3D5C">
        <w:rPr>
          <w:rFonts w:cs="Arial"/>
        </w:rPr>
        <w:t>Consent, subject to conditions</w:t>
      </w:r>
      <w:r w:rsidR="005E3D5C" w:rsidRPr="005E3D5C">
        <w:rPr>
          <w:rFonts w:cs="Arial"/>
        </w:rPr>
        <w:t>:</w:t>
      </w:r>
      <w:r w:rsidRPr="005E3D5C">
        <w:rPr>
          <w:rFonts w:cs="Arial"/>
        </w:rPr>
        <w:t xml:space="preserve"> </w:t>
      </w:r>
    </w:p>
    <w:p w14:paraId="1CE14335" w14:textId="77777777" w:rsidR="007E6FAE" w:rsidRPr="005E3D5C" w:rsidRDefault="007E6FAE" w:rsidP="007E6FAE">
      <w:pPr>
        <w:rPr>
          <w:rFonts w:cs="Arial"/>
        </w:rPr>
      </w:pPr>
    </w:p>
    <w:p w14:paraId="08DC01F4" w14:textId="1E0D874B" w:rsidR="007E6FAE" w:rsidRPr="005E3D5C" w:rsidRDefault="005E3D5C" w:rsidP="005E3D5C">
      <w:pPr>
        <w:ind w:firstLine="284"/>
        <w:rPr>
          <w:rFonts w:cs="Arial"/>
          <w:i/>
        </w:rPr>
      </w:pPr>
      <w:r w:rsidRPr="005E3D5C">
        <w:rPr>
          <w:rFonts w:cs="Arial"/>
          <w:i/>
        </w:rPr>
        <w:t>Standard</w:t>
      </w:r>
      <w:r w:rsidR="007E6FAE" w:rsidRPr="005E3D5C">
        <w:rPr>
          <w:rFonts w:cs="Arial"/>
          <w:i/>
        </w:rPr>
        <w:t xml:space="preserve"> Conditions</w:t>
      </w:r>
    </w:p>
    <w:p w14:paraId="7B439BDE" w14:textId="77777777" w:rsidR="00F74540" w:rsidRPr="008717F9" w:rsidRDefault="00F74540" w:rsidP="00F74540">
      <w:pPr>
        <w:rPr>
          <w:rFonts w:cs="Arial"/>
          <w:szCs w:val="22"/>
          <w:highlight w:val="yellow"/>
        </w:rPr>
      </w:pPr>
    </w:p>
    <w:tbl>
      <w:tblPr>
        <w:tblStyle w:val="TableGrid"/>
        <w:tblW w:w="9214" w:type="dxa"/>
        <w:tblLayout w:type="fixed"/>
        <w:tblLook w:val="04A0" w:firstRow="1" w:lastRow="0" w:firstColumn="1" w:lastColumn="0" w:noHBand="0" w:noVBand="1"/>
      </w:tblPr>
      <w:tblGrid>
        <w:gridCol w:w="562"/>
        <w:gridCol w:w="714"/>
        <w:gridCol w:w="7938"/>
      </w:tblGrid>
      <w:tr w:rsidR="005E3D5C" w:rsidRPr="008717F9" w14:paraId="67FE4437" w14:textId="77777777" w:rsidTr="00412D11">
        <w:trPr>
          <w:trHeight w:val="274"/>
        </w:trPr>
        <w:tc>
          <w:tcPr>
            <w:tcW w:w="562" w:type="dxa"/>
            <w:vMerge w:val="restart"/>
            <w:tcBorders>
              <w:bottom w:val="single" w:sz="4" w:space="0" w:color="auto"/>
              <w:right w:val="nil"/>
            </w:tcBorders>
          </w:tcPr>
          <w:p w14:paraId="6BBF969F" w14:textId="0454C353" w:rsidR="005E3D5C" w:rsidRPr="005E3D5C" w:rsidRDefault="005E3D5C" w:rsidP="005E3D5C">
            <w:pPr>
              <w:rPr>
                <w:rFonts w:cs="Arial"/>
                <w:b/>
                <w:szCs w:val="22"/>
              </w:rPr>
            </w:pPr>
            <w:r w:rsidRPr="005E3D5C">
              <w:rPr>
                <w:rFonts w:cs="Arial"/>
                <w:b/>
                <w:szCs w:val="22"/>
              </w:rPr>
              <w:t>D</w:t>
            </w:r>
          </w:p>
        </w:tc>
        <w:tc>
          <w:tcPr>
            <w:tcW w:w="714" w:type="dxa"/>
            <w:vMerge w:val="restart"/>
            <w:tcBorders>
              <w:left w:val="nil"/>
              <w:bottom w:val="single" w:sz="4" w:space="0" w:color="auto"/>
            </w:tcBorders>
          </w:tcPr>
          <w:p w14:paraId="30023F15" w14:textId="77777777" w:rsidR="005E3D5C" w:rsidRPr="005E3D5C" w:rsidRDefault="005E3D5C" w:rsidP="00401641">
            <w:pPr>
              <w:pStyle w:val="ListParagraph"/>
              <w:numPr>
                <w:ilvl w:val="0"/>
                <w:numId w:val="8"/>
              </w:numPr>
              <w:rPr>
                <w:rFonts w:cs="Arial"/>
                <w:b/>
              </w:rPr>
            </w:pPr>
          </w:p>
        </w:tc>
        <w:tc>
          <w:tcPr>
            <w:tcW w:w="7938" w:type="dxa"/>
            <w:tcBorders>
              <w:right w:val="single" w:sz="4" w:space="0" w:color="auto"/>
            </w:tcBorders>
          </w:tcPr>
          <w:p w14:paraId="62D8F671" w14:textId="77777777" w:rsidR="005E3D5C" w:rsidRPr="005E3D5C" w:rsidRDefault="005E3D5C" w:rsidP="005E3D5C">
            <w:pPr>
              <w:rPr>
                <w:b/>
              </w:rPr>
            </w:pPr>
            <w:r w:rsidRPr="005E3D5C">
              <w:rPr>
                <w:b/>
              </w:rPr>
              <w:t>Modification of Details of the Development (section 4.17(1)(g) of the Act</w:t>
            </w:r>
          </w:p>
          <w:p w14:paraId="2B25E63C" w14:textId="77777777" w:rsidR="005E3D5C" w:rsidRPr="005E3D5C" w:rsidRDefault="005E3D5C" w:rsidP="005E3D5C">
            <w:pPr>
              <w:rPr>
                <w:rFonts w:cs="Arial"/>
                <w:b/>
              </w:rPr>
            </w:pPr>
          </w:p>
        </w:tc>
      </w:tr>
      <w:tr w:rsidR="005E3D5C" w:rsidRPr="008717F9" w14:paraId="1B9CDE1B" w14:textId="77777777" w:rsidTr="00412D11">
        <w:tc>
          <w:tcPr>
            <w:tcW w:w="562" w:type="dxa"/>
            <w:vMerge/>
            <w:tcBorders>
              <w:top w:val="single" w:sz="4" w:space="0" w:color="auto"/>
              <w:bottom w:val="single" w:sz="4" w:space="0" w:color="auto"/>
              <w:right w:val="nil"/>
            </w:tcBorders>
          </w:tcPr>
          <w:p w14:paraId="208BE991" w14:textId="77777777" w:rsidR="005E3D5C" w:rsidRPr="005E3D5C" w:rsidRDefault="005E3D5C" w:rsidP="005E3D5C">
            <w:pPr>
              <w:rPr>
                <w:rFonts w:cs="Arial"/>
                <w:b/>
                <w:szCs w:val="22"/>
              </w:rPr>
            </w:pPr>
          </w:p>
        </w:tc>
        <w:tc>
          <w:tcPr>
            <w:tcW w:w="714" w:type="dxa"/>
            <w:vMerge/>
            <w:tcBorders>
              <w:top w:val="single" w:sz="4" w:space="0" w:color="auto"/>
              <w:left w:val="nil"/>
              <w:bottom w:val="single" w:sz="4" w:space="0" w:color="auto"/>
            </w:tcBorders>
          </w:tcPr>
          <w:p w14:paraId="328C359F" w14:textId="77777777" w:rsidR="005E3D5C" w:rsidRPr="005E3D5C" w:rsidRDefault="005E3D5C" w:rsidP="005E3D5C">
            <w:pPr>
              <w:rPr>
                <w:rFonts w:cs="Arial"/>
                <w:b/>
                <w:szCs w:val="22"/>
              </w:rPr>
            </w:pPr>
          </w:p>
        </w:tc>
        <w:tc>
          <w:tcPr>
            <w:tcW w:w="7938" w:type="dxa"/>
            <w:tcBorders>
              <w:top w:val="single" w:sz="4" w:space="0" w:color="auto"/>
              <w:bottom w:val="single" w:sz="4" w:space="0" w:color="auto"/>
              <w:right w:val="single" w:sz="4" w:space="0" w:color="auto"/>
            </w:tcBorders>
          </w:tcPr>
          <w:p w14:paraId="38E5C78F" w14:textId="77777777" w:rsidR="005E3D5C" w:rsidRPr="005E3D5C" w:rsidRDefault="005E3D5C" w:rsidP="005E3D5C">
            <w:r w:rsidRPr="005E3D5C">
              <w:t>Before the issue of any construction certificate, the approved plans and the construction certificate plans and specification, required to be submitted to the Principal Certifier under clause 7 of the Development Certification and Fire Safety Regulations, must detail the following amendments:</w:t>
            </w:r>
          </w:p>
          <w:p w14:paraId="522603A6" w14:textId="77777777" w:rsidR="005E3D5C" w:rsidRPr="005E3D5C" w:rsidRDefault="005E3D5C" w:rsidP="005E3D5C">
            <w:pPr>
              <w:rPr>
                <w:u w:val="single"/>
              </w:rPr>
            </w:pPr>
          </w:p>
          <w:p w14:paraId="461FD2C3" w14:textId="54440FFB" w:rsidR="005E3D5C" w:rsidRPr="005E3D5C" w:rsidRDefault="005E3D5C" w:rsidP="005E3D5C">
            <w:pPr>
              <w:rPr>
                <w:u w:val="single"/>
              </w:rPr>
            </w:pPr>
            <w:r w:rsidRPr="005E3D5C">
              <w:rPr>
                <w:u w:val="single"/>
              </w:rPr>
              <w:t>Skylights</w:t>
            </w:r>
          </w:p>
          <w:p w14:paraId="4DE55A81" w14:textId="77777777" w:rsidR="005E3D5C" w:rsidRPr="005E3D5C" w:rsidRDefault="005E3D5C" w:rsidP="005E3D5C">
            <w:pPr>
              <w:rPr>
                <w:u w:val="single"/>
              </w:rPr>
            </w:pPr>
          </w:p>
          <w:p w14:paraId="622EC8A9" w14:textId="166A64ED" w:rsidR="005E3D5C" w:rsidRPr="008A27A4" w:rsidRDefault="005E3D5C" w:rsidP="008A27A4">
            <w:pPr>
              <w:spacing w:after="120" w:line="264" w:lineRule="auto"/>
              <w:rPr>
                <w:lang w:val="en-US"/>
              </w:rPr>
            </w:pPr>
            <w:r w:rsidRPr="008A27A4">
              <w:rPr>
                <w:lang w:val="en-US"/>
              </w:rPr>
              <w:t xml:space="preserve">Any new skylights are to be of a low profile, flush with the roof surface. </w:t>
            </w:r>
          </w:p>
          <w:p w14:paraId="0A5C8D14" w14:textId="504A8D22" w:rsidR="005E3D5C" w:rsidRPr="005E3D5C" w:rsidRDefault="005E3D5C" w:rsidP="00401641">
            <w:pPr>
              <w:pStyle w:val="ListParagraph"/>
              <w:numPr>
                <w:ilvl w:val="0"/>
                <w:numId w:val="9"/>
              </w:numPr>
              <w:spacing w:after="120" w:line="264" w:lineRule="auto"/>
              <w:rPr>
                <w:lang w:val="en-US"/>
              </w:rPr>
            </w:pPr>
            <w:r w:rsidRPr="005E3D5C">
              <w:t>Woollahra DCP 2015, Chapter C1, Clause 1.5.1, Control C28</w:t>
            </w:r>
          </w:p>
        </w:tc>
      </w:tr>
      <w:tr w:rsidR="005E3D5C" w:rsidRPr="008717F9" w14:paraId="197894D3" w14:textId="77777777" w:rsidTr="00412D11">
        <w:tc>
          <w:tcPr>
            <w:tcW w:w="562" w:type="dxa"/>
            <w:vMerge/>
            <w:tcBorders>
              <w:top w:val="single" w:sz="4" w:space="0" w:color="auto"/>
              <w:bottom w:val="single" w:sz="4" w:space="0" w:color="auto"/>
              <w:right w:val="nil"/>
            </w:tcBorders>
          </w:tcPr>
          <w:p w14:paraId="6C01813B" w14:textId="77777777" w:rsidR="005E3D5C" w:rsidRPr="005E3D5C" w:rsidRDefault="005E3D5C" w:rsidP="005E3D5C">
            <w:pPr>
              <w:rPr>
                <w:rFonts w:cs="Arial"/>
                <w:b/>
                <w:szCs w:val="22"/>
              </w:rPr>
            </w:pPr>
          </w:p>
        </w:tc>
        <w:tc>
          <w:tcPr>
            <w:tcW w:w="714" w:type="dxa"/>
            <w:vMerge/>
            <w:tcBorders>
              <w:top w:val="single" w:sz="4" w:space="0" w:color="auto"/>
              <w:left w:val="nil"/>
              <w:bottom w:val="single" w:sz="4" w:space="0" w:color="auto"/>
            </w:tcBorders>
          </w:tcPr>
          <w:p w14:paraId="10C7A2F5" w14:textId="77777777" w:rsidR="005E3D5C" w:rsidRPr="005E3D5C" w:rsidRDefault="005E3D5C" w:rsidP="005E3D5C">
            <w:pPr>
              <w:rPr>
                <w:rFonts w:cs="Arial"/>
                <w:b/>
                <w:szCs w:val="22"/>
              </w:rPr>
            </w:pPr>
          </w:p>
        </w:tc>
        <w:tc>
          <w:tcPr>
            <w:tcW w:w="7938" w:type="dxa"/>
            <w:tcBorders>
              <w:top w:val="single" w:sz="4" w:space="0" w:color="auto"/>
              <w:right w:val="single" w:sz="4" w:space="0" w:color="auto"/>
            </w:tcBorders>
          </w:tcPr>
          <w:p w14:paraId="3EB3F987" w14:textId="65EA48D7" w:rsidR="005E3D5C" w:rsidRPr="005E3D5C" w:rsidRDefault="005E3D5C" w:rsidP="005E3D5C">
            <w:pPr>
              <w:spacing w:after="40"/>
              <w:rPr>
                <w:rFonts w:cs="Arial"/>
                <w:szCs w:val="22"/>
              </w:rPr>
            </w:pPr>
            <w:r w:rsidRPr="005E3D5C">
              <w:rPr>
                <w:rFonts w:cs="Arial"/>
                <w:b/>
                <w:szCs w:val="22"/>
              </w:rPr>
              <w:t>Condition Reason:</w:t>
            </w:r>
            <w:r w:rsidRPr="005E3D5C">
              <w:rPr>
                <w:rFonts w:cs="Arial"/>
                <w:szCs w:val="22"/>
              </w:rPr>
              <w:t xml:space="preserve"> </w:t>
            </w:r>
            <w:r w:rsidRPr="005E3D5C">
              <w:t>To require design changes and/or further information to be provided to address specific issues identified during the assessment under section 4.15 of the Act.</w:t>
            </w:r>
          </w:p>
        </w:tc>
      </w:tr>
    </w:tbl>
    <w:p w14:paraId="41F221E4" w14:textId="77777777" w:rsidR="00412D11" w:rsidRPr="008717F9" w:rsidRDefault="00412D11" w:rsidP="00A32E60">
      <w:pPr>
        <w:rPr>
          <w:rFonts w:cs="Arial"/>
        </w:rPr>
      </w:pPr>
    </w:p>
    <w:p w14:paraId="010B0D5C" w14:textId="77777777" w:rsidR="007E6C07" w:rsidRPr="008717F9" w:rsidRDefault="007E6C07" w:rsidP="00A32E60">
      <w:pPr>
        <w:rPr>
          <w:rFonts w:cs="Arial"/>
        </w:rPr>
      </w:pPr>
    </w:p>
    <w:p w14:paraId="200C3A9F" w14:textId="6C149A50" w:rsidR="00A32E60" w:rsidRPr="008717F9" w:rsidRDefault="00401641" w:rsidP="007E6C07">
      <w:pPr>
        <w:rPr>
          <w:rFonts w:cs="Arial"/>
        </w:rPr>
      </w:pPr>
      <w:sdt>
        <w:sdtPr>
          <w:rPr>
            <w:rFonts w:cs="Arial"/>
          </w:rPr>
          <w:alias w:val="Officers Name"/>
          <w:tag w:val="Officers Name"/>
          <w:id w:val="1579715779"/>
          <w:placeholder>
            <w:docPart w:val="A734663841F14EBF8EDB02ECEB4F93E0"/>
          </w:placeholder>
          <w:dropDownList>
            <w:listItem w:value="Choose an item."/>
            <w:listItem w:displayText="Shona Lindsay" w:value="Shona Lindsay"/>
            <w:listItem w:displayText="Kristy Wellfare " w:value="Kristy Wellfare "/>
            <w:listItem w:displayText="Vanessa Wood" w:value="Vanessa Wood"/>
            <w:listItem w:displayText="Sagar Chauhan" w:value="Sagar Chauhan"/>
            <w:listItem w:displayText="Tristan Ryan" w:value="Tristan Ryan"/>
            <w:listItem w:displayText="Eleanor Banaag" w:value="Eleanor Banaag"/>
            <w:listItem w:displayText="Nastaran Forouzesh" w:value="Nastaran Forouzesh"/>
          </w:dropDownList>
        </w:sdtPr>
        <w:sdtEndPr/>
        <w:sdtContent>
          <w:r w:rsidR="008717F9" w:rsidRPr="008717F9">
            <w:rPr>
              <w:rFonts w:cs="Arial"/>
            </w:rPr>
            <w:t>Nastaran Forouzesh</w:t>
          </w:r>
        </w:sdtContent>
      </w:sdt>
      <w:r w:rsidR="007E6C07" w:rsidRPr="008717F9">
        <w:rPr>
          <w:rFonts w:cs="Arial"/>
        </w:rPr>
        <w:t xml:space="preserve">                                                                   </w:t>
      </w:r>
      <w:r w:rsidR="007E6C07" w:rsidRPr="008717F9">
        <w:rPr>
          <w:rFonts w:cs="Arial"/>
        </w:rPr>
        <w:tab/>
      </w:r>
      <w:r w:rsidR="005E3D5C">
        <w:rPr>
          <w:rFonts w:cs="Arial"/>
        </w:rPr>
        <w:t>20 November 2023</w:t>
      </w:r>
    </w:p>
    <w:p w14:paraId="1031A215" w14:textId="77777777" w:rsidR="007E6C07" w:rsidRPr="008717F9" w:rsidRDefault="007E6C07" w:rsidP="007E6C07">
      <w:pPr>
        <w:tabs>
          <w:tab w:val="right" w:pos="8222"/>
        </w:tabs>
        <w:rPr>
          <w:rFonts w:cs="Arial"/>
          <w:szCs w:val="22"/>
        </w:rPr>
      </w:pPr>
      <w:r w:rsidRPr="008717F9">
        <w:rPr>
          <w:rFonts w:cs="Arial"/>
          <w:b/>
          <w:szCs w:val="22"/>
        </w:rPr>
        <w:t>Heritage Officer</w:t>
      </w:r>
      <w:r w:rsidRPr="008717F9">
        <w:rPr>
          <w:rFonts w:cs="Arial"/>
          <w:b/>
          <w:szCs w:val="22"/>
        </w:rPr>
        <w:tab/>
        <w:t xml:space="preserve">Completion Date </w:t>
      </w:r>
    </w:p>
    <w:p w14:paraId="5B23C712" w14:textId="77777777" w:rsidR="00A32E60" w:rsidRPr="008717F9" w:rsidRDefault="00A32E60" w:rsidP="00A32E60">
      <w:pPr>
        <w:rPr>
          <w:rFonts w:cs="Arial"/>
        </w:rPr>
      </w:pPr>
    </w:p>
    <w:p w14:paraId="0698F205" w14:textId="77777777" w:rsidR="006A0148" w:rsidRPr="008717F9" w:rsidRDefault="006A0148" w:rsidP="006A0148">
      <w:pPr>
        <w:rPr>
          <w:rFonts w:cs="Arial"/>
        </w:rPr>
      </w:pPr>
    </w:p>
    <w:sectPr w:rsidR="006A0148" w:rsidRPr="008717F9" w:rsidSect="00A32FE4">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20" w:footer="720" w:gutter="0"/>
      <w:paperSrc w:first="1257" w:other="1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C779E" w14:textId="77777777" w:rsidR="00401641" w:rsidRDefault="00401641">
      <w:r>
        <w:separator/>
      </w:r>
    </w:p>
  </w:endnote>
  <w:endnote w:type="continuationSeparator" w:id="0">
    <w:p w14:paraId="6A3E201C" w14:textId="77777777" w:rsidR="00401641" w:rsidRDefault="0040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DAEDB" w14:textId="77777777" w:rsidR="008A27A4" w:rsidRDefault="008A2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742570"/>
      <w:docPartObj>
        <w:docPartGallery w:val="Page Numbers (Bottom of Page)"/>
        <w:docPartUnique/>
      </w:docPartObj>
    </w:sdtPr>
    <w:sdtEndPr/>
    <w:sdtContent>
      <w:sdt>
        <w:sdtPr>
          <w:id w:val="1728636285"/>
          <w:docPartObj>
            <w:docPartGallery w:val="Page Numbers (Top of Page)"/>
            <w:docPartUnique/>
          </w:docPartObj>
        </w:sdtPr>
        <w:sdtEndPr/>
        <w:sdtContent>
          <w:p w14:paraId="3EAF338B" w14:textId="28E0DEE0" w:rsidR="00356B33" w:rsidRDefault="00356B33">
            <w:pPr>
              <w:pStyle w:val="Footer"/>
              <w:jc w:val="center"/>
            </w:pPr>
            <w:r w:rsidRPr="00356B33">
              <w:t xml:space="preserve">Page </w:t>
            </w:r>
            <w:r w:rsidRPr="00356B33">
              <w:rPr>
                <w:bCs/>
                <w:sz w:val="24"/>
                <w:szCs w:val="24"/>
              </w:rPr>
              <w:fldChar w:fldCharType="begin"/>
            </w:r>
            <w:r w:rsidRPr="00356B33">
              <w:rPr>
                <w:bCs/>
              </w:rPr>
              <w:instrText xml:space="preserve"> PAGE </w:instrText>
            </w:r>
            <w:r w:rsidRPr="00356B33">
              <w:rPr>
                <w:bCs/>
                <w:sz w:val="24"/>
                <w:szCs w:val="24"/>
              </w:rPr>
              <w:fldChar w:fldCharType="separate"/>
            </w:r>
            <w:r w:rsidR="008A27A4">
              <w:rPr>
                <w:bCs/>
                <w:noProof/>
              </w:rPr>
              <w:t>9</w:t>
            </w:r>
            <w:r w:rsidRPr="00356B33">
              <w:rPr>
                <w:bCs/>
                <w:sz w:val="24"/>
                <w:szCs w:val="24"/>
              </w:rPr>
              <w:fldChar w:fldCharType="end"/>
            </w:r>
            <w:r w:rsidRPr="00356B33">
              <w:t xml:space="preserve"> of </w:t>
            </w:r>
            <w:r w:rsidRPr="00356B33">
              <w:rPr>
                <w:bCs/>
                <w:sz w:val="24"/>
                <w:szCs w:val="24"/>
              </w:rPr>
              <w:fldChar w:fldCharType="begin"/>
            </w:r>
            <w:r w:rsidRPr="00356B33">
              <w:rPr>
                <w:bCs/>
              </w:rPr>
              <w:instrText xml:space="preserve"> NUMPAGES  </w:instrText>
            </w:r>
            <w:r w:rsidRPr="00356B33">
              <w:rPr>
                <w:bCs/>
                <w:sz w:val="24"/>
                <w:szCs w:val="24"/>
              </w:rPr>
              <w:fldChar w:fldCharType="separate"/>
            </w:r>
            <w:r w:rsidR="008A27A4">
              <w:rPr>
                <w:bCs/>
                <w:noProof/>
              </w:rPr>
              <w:t>9</w:t>
            </w:r>
            <w:r w:rsidRPr="00356B33">
              <w:rPr>
                <w:bCs/>
                <w:sz w:val="24"/>
                <w:szCs w:val="24"/>
              </w:rPr>
              <w:fldChar w:fldCharType="end"/>
            </w:r>
          </w:p>
        </w:sdtContent>
      </w:sdt>
    </w:sdtContent>
  </w:sdt>
  <w:p w14:paraId="62594358" w14:textId="77777777" w:rsidR="00503F1E" w:rsidRPr="009347EC" w:rsidRDefault="00503F1E" w:rsidP="009347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F43C2" w14:textId="77777777" w:rsidR="008A27A4" w:rsidRDefault="008A2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BC6D4" w14:textId="77777777" w:rsidR="00401641" w:rsidRDefault="00401641">
      <w:r>
        <w:separator/>
      </w:r>
    </w:p>
  </w:footnote>
  <w:footnote w:type="continuationSeparator" w:id="0">
    <w:p w14:paraId="44F6A9D2" w14:textId="77777777" w:rsidR="00401641" w:rsidRDefault="00401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BBF91" w14:textId="77777777" w:rsidR="00503F1E" w:rsidRDefault="00401641">
    <w:pPr>
      <w:pStyle w:val="Header"/>
    </w:pPr>
    <w:r>
      <w:rPr>
        <w:noProof/>
      </w:rPr>
      <w:pict w14:anchorId="66473C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18.5pt;height:167.4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DBD3B" w14:textId="77777777" w:rsidR="00E65AD4" w:rsidRDefault="00E65AD4" w:rsidP="00E65AD4">
    <w:pPr>
      <w:pStyle w:val="Header"/>
    </w:pPr>
    <w:r>
      <w:rPr>
        <w:noProof/>
        <w:lang w:eastAsia="en-AU"/>
      </w:rPr>
      <w:drawing>
        <wp:inline distT="0" distB="0" distL="0" distR="0" wp14:anchorId="55FBE46B" wp14:editId="3B76B849">
          <wp:extent cx="1419367" cy="64989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MC Text Horiz_Black.jpg"/>
                  <pic:cNvPicPr/>
                </pic:nvPicPr>
                <pic:blipFill>
                  <a:blip r:embed="rId1">
                    <a:extLst>
                      <a:ext uri="{28A0092B-C50C-407E-A947-70E740481C1C}">
                        <a14:useLocalDpi xmlns:a14="http://schemas.microsoft.com/office/drawing/2010/main" val="0"/>
                      </a:ext>
                    </a:extLst>
                  </a:blip>
                  <a:stretch>
                    <a:fillRect/>
                  </a:stretch>
                </pic:blipFill>
                <pic:spPr>
                  <a:xfrm>
                    <a:off x="0" y="0"/>
                    <a:ext cx="1432195" cy="655767"/>
                  </a:xfrm>
                  <a:prstGeom prst="rect">
                    <a:avLst/>
                  </a:prstGeom>
                </pic:spPr>
              </pic:pic>
            </a:graphicData>
          </a:graphic>
        </wp:inline>
      </w:drawing>
    </w:r>
  </w:p>
  <w:p w14:paraId="6D3175D8" w14:textId="199E8390" w:rsidR="00503F1E" w:rsidRDefault="00503F1E">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944F3" w14:textId="77777777" w:rsidR="00503F1E" w:rsidRDefault="00401641">
    <w:pPr>
      <w:pStyle w:val="Header"/>
    </w:pPr>
    <w:r>
      <w:rPr>
        <w:noProof/>
      </w:rPr>
      <w:pict w14:anchorId="167F0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18.5pt;height:167.4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62B55"/>
    <w:multiLevelType w:val="hybridMultilevel"/>
    <w:tmpl w:val="AD68E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A83BBB"/>
    <w:multiLevelType w:val="hybridMultilevel"/>
    <w:tmpl w:val="6F322BB2"/>
    <w:lvl w:ilvl="0" w:tplc="ACE2C608">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67A07FA"/>
    <w:multiLevelType w:val="hybridMultilevel"/>
    <w:tmpl w:val="67CEBE7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399A7C38"/>
    <w:multiLevelType w:val="hybridMultilevel"/>
    <w:tmpl w:val="4112BC82"/>
    <w:lvl w:ilvl="0" w:tplc="A3987E3E">
      <w:start w:val="1"/>
      <w:numFmt w:val="decimal"/>
      <w:lvlText w:val="%1."/>
      <w:lvlJc w:val="left"/>
      <w:pPr>
        <w:ind w:left="0" w:firstLine="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C0B2709"/>
    <w:multiLevelType w:val="hybridMultilevel"/>
    <w:tmpl w:val="1F9C14C8"/>
    <w:lvl w:ilvl="0" w:tplc="46221B90">
      <w:start w:val="1"/>
      <w:numFmt w:val="bullet"/>
      <w:lvlText w:val=""/>
      <w:lvlJc w:val="left"/>
      <w:pPr>
        <w:tabs>
          <w:tab w:val="num" w:pos="567"/>
        </w:tabs>
        <w:ind w:left="567" w:hanging="567"/>
      </w:pPr>
      <w:rPr>
        <w:rFonts w:ascii="Symbol" w:hAnsi="Symbol" w:hint="default"/>
      </w:rPr>
    </w:lvl>
    <w:lvl w:ilvl="1" w:tplc="4638240A">
      <w:start w:val="1"/>
      <w:numFmt w:val="bullet"/>
      <w:lvlText w:val=""/>
      <w:lvlJc w:val="left"/>
      <w:pPr>
        <w:tabs>
          <w:tab w:val="num" w:pos="1647"/>
        </w:tabs>
        <w:ind w:left="1647" w:hanging="56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743AA5"/>
    <w:multiLevelType w:val="multilevel"/>
    <w:tmpl w:val="01E86BA2"/>
    <w:lvl w:ilvl="0">
      <w:start w:val="1"/>
      <w:numFmt w:val="upperLetter"/>
      <w:pStyle w:val="ConditionHeading1"/>
      <w:lvlText w:val="%1."/>
      <w:lvlJc w:val="left"/>
      <w:pPr>
        <w:tabs>
          <w:tab w:val="num" w:pos="567"/>
        </w:tabs>
        <w:ind w:left="567" w:hanging="567"/>
      </w:pPr>
      <w:rPr>
        <w:rFonts w:hint="default"/>
      </w:rPr>
    </w:lvl>
    <w:lvl w:ilvl="1">
      <w:start w:val="1"/>
      <w:numFmt w:val="decimal"/>
      <w:pStyle w:val="ConditionHeading2"/>
      <w:lvlText w:val="%1.%2"/>
      <w:lvlJc w:val="left"/>
      <w:pPr>
        <w:tabs>
          <w:tab w:val="num" w:pos="567"/>
        </w:tabs>
        <w:ind w:left="567"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0"/>
        </w:tabs>
        <w:ind w:left="2126" w:hanging="567"/>
      </w:pPr>
      <w:rPr>
        <w:rFonts w:hint="default"/>
      </w:rPr>
    </w:lvl>
    <w:lvl w:ilvl="4">
      <w:start w:val="1"/>
      <w:numFmt w:val="upperLetter"/>
      <w:lvlText w:val="(%5)"/>
      <w:lvlJc w:val="left"/>
      <w:pPr>
        <w:tabs>
          <w:tab w:val="num" w:pos="0"/>
        </w:tabs>
        <w:ind w:left="2835" w:hanging="567"/>
      </w:pPr>
      <w:rPr>
        <w:rFonts w:hint="default"/>
      </w:rPr>
    </w:lvl>
    <w:lvl w:ilvl="5">
      <w:start w:val="1"/>
      <w:numFmt w:val="upperRoman"/>
      <w:lvlText w:val="(%6)"/>
      <w:lvlJc w:val="left"/>
      <w:pPr>
        <w:tabs>
          <w:tab w:val="num" w:pos="0"/>
        </w:tabs>
        <w:ind w:left="3544" w:hanging="567"/>
      </w:pPr>
      <w:rPr>
        <w:rFonts w:hint="default"/>
      </w:rPr>
    </w:lvl>
    <w:lvl w:ilvl="6">
      <w:start w:val="1"/>
      <w:numFmt w:val="decimal"/>
      <w:lvlText w:val="(%7)"/>
      <w:lvlJc w:val="left"/>
      <w:pPr>
        <w:tabs>
          <w:tab w:val="num" w:pos="0"/>
        </w:tabs>
        <w:ind w:left="4253" w:hanging="567"/>
      </w:pPr>
      <w:rPr>
        <w:rFonts w:hint="default"/>
      </w:rPr>
    </w:lvl>
    <w:lvl w:ilvl="7">
      <w:start w:val="1"/>
      <w:numFmt w:val="upperRoman"/>
      <w:lvlText w:val="(%8)"/>
      <w:lvlJc w:val="left"/>
      <w:pPr>
        <w:tabs>
          <w:tab w:val="num" w:pos="0"/>
        </w:tabs>
        <w:ind w:left="4961" w:hanging="567"/>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59B6629E"/>
    <w:multiLevelType w:val="hybridMultilevel"/>
    <w:tmpl w:val="04CA2EC4"/>
    <w:lvl w:ilvl="0" w:tplc="463824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133889"/>
    <w:multiLevelType w:val="hybridMultilevel"/>
    <w:tmpl w:val="C9EE6C46"/>
    <w:lvl w:ilvl="0" w:tplc="7D386AE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71C61645"/>
    <w:multiLevelType w:val="hybridMultilevel"/>
    <w:tmpl w:val="D41E1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A71FB7"/>
    <w:multiLevelType w:val="hybridMultilevel"/>
    <w:tmpl w:val="EABCC60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E527C7"/>
    <w:multiLevelType w:val="hybridMultilevel"/>
    <w:tmpl w:val="67E2D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5"/>
  </w:num>
  <w:num w:numId="5">
    <w:abstractNumId w:val="0"/>
  </w:num>
  <w:num w:numId="6">
    <w:abstractNumId w:val="8"/>
  </w:num>
  <w:num w:numId="7">
    <w:abstractNumId w:val="1"/>
  </w:num>
  <w:num w:numId="8">
    <w:abstractNumId w:val="3"/>
  </w:num>
  <w:num w:numId="9">
    <w:abstractNumId w:val="2"/>
  </w:num>
  <w:num w:numId="10">
    <w:abstractNumId w:val="9"/>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EDE"/>
    <w:rsid w:val="00012CB8"/>
    <w:rsid w:val="000606BE"/>
    <w:rsid w:val="000716C2"/>
    <w:rsid w:val="000B7D6F"/>
    <w:rsid w:val="000C55F1"/>
    <w:rsid w:val="000D5362"/>
    <w:rsid w:val="00124951"/>
    <w:rsid w:val="001B3B39"/>
    <w:rsid w:val="001D526A"/>
    <w:rsid w:val="00255EDE"/>
    <w:rsid w:val="00277B13"/>
    <w:rsid w:val="002B2800"/>
    <w:rsid w:val="002D1576"/>
    <w:rsid w:val="003176B9"/>
    <w:rsid w:val="00317E47"/>
    <w:rsid w:val="003313F2"/>
    <w:rsid w:val="00335C9B"/>
    <w:rsid w:val="00356B33"/>
    <w:rsid w:val="00374E3C"/>
    <w:rsid w:val="003C372E"/>
    <w:rsid w:val="003D26D4"/>
    <w:rsid w:val="00401641"/>
    <w:rsid w:val="00412D11"/>
    <w:rsid w:val="00481137"/>
    <w:rsid w:val="00494C7E"/>
    <w:rsid w:val="004A4F1C"/>
    <w:rsid w:val="004A6F97"/>
    <w:rsid w:val="004D180E"/>
    <w:rsid w:val="00503F1E"/>
    <w:rsid w:val="00546C11"/>
    <w:rsid w:val="005505C5"/>
    <w:rsid w:val="005A2007"/>
    <w:rsid w:val="005A5F4A"/>
    <w:rsid w:val="005B0EF1"/>
    <w:rsid w:val="005B61E2"/>
    <w:rsid w:val="005E3D5C"/>
    <w:rsid w:val="00613708"/>
    <w:rsid w:val="00623401"/>
    <w:rsid w:val="0062549F"/>
    <w:rsid w:val="006A0148"/>
    <w:rsid w:val="007927AE"/>
    <w:rsid w:val="007A769B"/>
    <w:rsid w:val="007E6C07"/>
    <w:rsid w:val="007E6FAE"/>
    <w:rsid w:val="00801608"/>
    <w:rsid w:val="00804E7B"/>
    <w:rsid w:val="00841E4C"/>
    <w:rsid w:val="008472DE"/>
    <w:rsid w:val="008518DB"/>
    <w:rsid w:val="008717F9"/>
    <w:rsid w:val="00892E50"/>
    <w:rsid w:val="00893484"/>
    <w:rsid w:val="008A27A4"/>
    <w:rsid w:val="008B0CC7"/>
    <w:rsid w:val="008D439F"/>
    <w:rsid w:val="008D5CC0"/>
    <w:rsid w:val="008D754B"/>
    <w:rsid w:val="00915F3F"/>
    <w:rsid w:val="009347EC"/>
    <w:rsid w:val="00952B73"/>
    <w:rsid w:val="009565E4"/>
    <w:rsid w:val="009655B6"/>
    <w:rsid w:val="00981C2A"/>
    <w:rsid w:val="009B3C2F"/>
    <w:rsid w:val="009D4A63"/>
    <w:rsid w:val="009F67CE"/>
    <w:rsid w:val="00A0403C"/>
    <w:rsid w:val="00A05CC4"/>
    <w:rsid w:val="00A110B5"/>
    <w:rsid w:val="00A30DAB"/>
    <w:rsid w:val="00A32E60"/>
    <w:rsid w:val="00A32FE4"/>
    <w:rsid w:val="00A73F77"/>
    <w:rsid w:val="00A91F51"/>
    <w:rsid w:val="00A93B48"/>
    <w:rsid w:val="00AA1199"/>
    <w:rsid w:val="00AA49D7"/>
    <w:rsid w:val="00AB58D1"/>
    <w:rsid w:val="00AC254C"/>
    <w:rsid w:val="00AD3637"/>
    <w:rsid w:val="00AE2102"/>
    <w:rsid w:val="00AE357D"/>
    <w:rsid w:val="00B06692"/>
    <w:rsid w:val="00B07D30"/>
    <w:rsid w:val="00B34355"/>
    <w:rsid w:val="00B71652"/>
    <w:rsid w:val="00B76518"/>
    <w:rsid w:val="00B81EFB"/>
    <w:rsid w:val="00B83FAE"/>
    <w:rsid w:val="00BA42C9"/>
    <w:rsid w:val="00BC2CDC"/>
    <w:rsid w:val="00C03D5B"/>
    <w:rsid w:val="00C379C3"/>
    <w:rsid w:val="00C53FE3"/>
    <w:rsid w:val="00C806B9"/>
    <w:rsid w:val="00C87618"/>
    <w:rsid w:val="00CC3EDB"/>
    <w:rsid w:val="00CE16A2"/>
    <w:rsid w:val="00CF22F8"/>
    <w:rsid w:val="00D33BDD"/>
    <w:rsid w:val="00DB069A"/>
    <w:rsid w:val="00E17E45"/>
    <w:rsid w:val="00E35E86"/>
    <w:rsid w:val="00E65AD4"/>
    <w:rsid w:val="00EA5EB4"/>
    <w:rsid w:val="00EA6D07"/>
    <w:rsid w:val="00EA79B1"/>
    <w:rsid w:val="00ED5A8A"/>
    <w:rsid w:val="00F20307"/>
    <w:rsid w:val="00F7368F"/>
    <w:rsid w:val="00F74540"/>
    <w:rsid w:val="00F96BE3"/>
    <w:rsid w:val="00FA37B9"/>
    <w:rsid w:val="00FB0474"/>
    <w:rsid w:val="00FD6918"/>
    <w:rsid w:val="00FD7D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B3779D9"/>
  <w15:docId w15:val="{E319887B-FB61-47CD-8EEB-D5DA55F0A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CDC"/>
    <w:rPr>
      <w:rFonts w:ascii="Arial" w:hAnsi="Arial"/>
      <w:sz w:val="22"/>
      <w:lang w:eastAsia="en-US"/>
    </w:rPr>
  </w:style>
  <w:style w:type="paragraph" w:styleId="Heading1">
    <w:name w:val="heading 1"/>
    <w:basedOn w:val="Normal"/>
    <w:next w:val="Normal"/>
    <w:qFormat/>
    <w:pPr>
      <w:keepNext/>
      <w:outlineLvl w:val="0"/>
    </w:pPr>
    <w:rPr>
      <w:b/>
      <w:color w:val="000000"/>
    </w:rPr>
  </w:style>
  <w:style w:type="paragraph" w:styleId="Heading2">
    <w:name w:val="heading 2"/>
    <w:basedOn w:val="Normal"/>
    <w:next w:val="Normal"/>
    <w:qFormat/>
    <w:pPr>
      <w:keepNext/>
      <w:outlineLvl w:val="1"/>
    </w:pPr>
    <w:rPr>
      <w:b/>
      <w:lang w:val="en-US"/>
    </w:rPr>
  </w:style>
  <w:style w:type="paragraph" w:styleId="Heading3">
    <w:name w:val="heading 3"/>
    <w:basedOn w:val="Normal"/>
    <w:next w:val="Normal"/>
    <w:qFormat/>
    <w:pPr>
      <w:keepNext/>
      <w:outlineLvl w:val="2"/>
    </w:pPr>
    <w:rPr>
      <w:b/>
      <w:lang w:val="en-NZ"/>
    </w:rPr>
  </w:style>
  <w:style w:type="paragraph" w:styleId="Heading4">
    <w:name w:val="heading 4"/>
    <w:basedOn w:val="Normal"/>
    <w:next w:val="Normal"/>
    <w:qFormat/>
    <w:pPr>
      <w:keepNext/>
      <w:jc w:val="center"/>
      <w:outlineLvl w:val="3"/>
    </w:pPr>
    <w:rPr>
      <w:b/>
      <w:sz w:val="36"/>
      <w:lang w:val="en-NZ"/>
    </w:rPr>
  </w:style>
  <w:style w:type="paragraph" w:styleId="Heading5">
    <w:name w:val="heading 5"/>
    <w:basedOn w:val="Normal"/>
    <w:next w:val="Normal"/>
    <w:qFormat/>
    <w:pPr>
      <w:keepNext/>
      <w:outlineLvl w:val="4"/>
    </w:pPr>
    <w:rPr>
      <w:b/>
      <w:lang w:val="en-US"/>
    </w:rPr>
  </w:style>
  <w:style w:type="paragraph" w:styleId="Heading6">
    <w:name w:val="heading 6"/>
    <w:basedOn w:val="Normal"/>
    <w:next w:val="Normal"/>
    <w:qFormat/>
    <w:pPr>
      <w:keepNext/>
      <w:jc w:val="right"/>
      <w:outlineLvl w:val="5"/>
    </w:pPr>
    <w:rPr>
      <w:b/>
      <w:lang w:val="en-NZ"/>
    </w:rPr>
  </w:style>
  <w:style w:type="paragraph" w:styleId="Heading7">
    <w:name w:val="heading 7"/>
    <w:basedOn w:val="Normal"/>
    <w:next w:val="Normal"/>
    <w:qFormat/>
    <w:pPr>
      <w:keepNext/>
      <w:outlineLvl w:val="6"/>
    </w:pPr>
    <w:rPr>
      <w:b/>
      <w:lang w:val="en-US"/>
    </w:rPr>
  </w:style>
  <w:style w:type="paragraph" w:styleId="Heading8">
    <w:name w:val="heading 8"/>
    <w:basedOn w:val="Normal"/>
    <w:next w:val="Normal"/>
    <w:qFormat/>
    <w:pPr>
      <w:keepNext/>
      <w:jc w:val="center"/>
      <w:outlineLvl w:val="7"/>
    </w:pPr>
    <w:rPr>
      <w:b/>
      <w:lang w:val="en-US"/>
    </w:rPr>
  </w:style>
  <w:style w:type="paragraph" w:styleId="Heading9">
    <w:name w:val="heading 9"/>
    <w:basedOn w:val="Normal"/>
    <w:next w:val="Normal"/>
    <w:qFormat/>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sz w:val="16"/>
    </w:rPr>
  </w:style>
  <w:style w:type="paragraph" w:styleId="CommentText">
    <w:name w:val="annotation text"/>
    <w:basedOn w:val="Normal"/>
    <w:semiHidden/>
    <w:rPr>
      <w:sz w:val="20"/>
      <w:lang w:val="en-NZ"/>
    </w:rPr>
  </w:style>
  <w:style w:type="table" w:styleId="TableGrid">
    <w:name w:val="Table Grid"/>
    <w:basedOn w:val="TableNormal"/>
    <w:rsid w:val="008D7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8D754B"/>
    <w:rPr>
      <w:b/>
      <w:bCs/>
      <w:lang w:val="en-AU"/>
    </w:rPr>
  </w:style>
  <w:style w:type="paragraph" w:styleId="BalloonText">
    <w:name w:val="Balloon Text"/>
    <w:basedOn w:val="Normal"/>
    <w:semiHidden/>
    <w:rsid w:val="008D754B"/>
    <w:rPr>
      <w:rFonts w:ascii="Tahoma" w:hAnsi="Tahoma" w:cs="Tahoma"/>
      <w:sz w:val="16"/>
      <w:szCs w:val="16"/>
    </w:rPr>
  </w:style>
  <w:style w:type="paragraph" w:styleId="Header">
    <w:name w:val="header"/>
    <w:basedOn w:val="Normal"/>
    <w:rsid w:val="000C55F1"/>
    <w:pPr>
      <w:tabs>
        <w:tab w:val="center" w:pos="4320"/>
        <w:tab w:val="right" w:pos="8640"/>
      </w:tabs>
    </w:pPr>
  </w:style>
  <w:style w:type="paragraph" w:styleId="Footer">
    <w:name w:val="footer"/>
    <w:basedOn w:val="Normal"/>
    <w:link w:val="FooterChar"/>
    <w:uiPriority w:val="99"/>
    <w:rsid w:val="000C55F1"/>
    <w:pPr>
      <w:tabs>
        <w:tab w:val="center" w:pos="4320"/>
        <w:tab w:val="right" w:pos="8640"/>
      </w:tabs>
    </w:pPr>
  </w:style>
  <w:style w:type="paragraph" w:customStyle="1" w:styleId="ConditionHeading2">
    <w:name w:val="Condition Heading 2"/>
    <w:basedOn w:val="Heading2"/>
    <w:link w:val="ConditionHeading2CharChar"/>
    <w:rsid w:val="000606BE"/>
    <w:pPr>
      <w:numPr>
        <w:ilvl w:val="1"/>
        <w:numId w:val="4"/>
      </w:numPr>
    </w:pPr>
    <w:rPr>
      <w:lang w:val="en-AU" w:eastAsia="ko-KR"/>
    </w:rPr>
  </w:style>
  <w:style w:type="character" w:customStyle="1" w:styleId="ConditionHeading2CharChar">
    <w:name w:val="Condition Heading 2 Char Char"/>
    <w:link w:val="ConditionHeading2"/>
    <w:rsid w:val="000606BE"/>
    <w:rPr>
      <w:rFonts w:ascii="Arial" w:hAnsi="Arial"/>
      <w:b/>
      <w:sz w:val="22"/>
      <w:lang w:eastAsia="ko-KR"/>
    </w:rPr>
  </w:style>
  <w:style w:type="paragraph" w:customStyle="1" w:styleId="ConditionHeading1">
    <w:name w:val="Condition Heading 1"/>
    <w:basedOn w:val="Heading1"/>
    <w:rsid w:val="000606BE"/>
    <w:pPr>
      <w:numPr>
        <w:numId w:val="4"/>
      </w:numPr>
    </w:pPr>
    <w:rPr>
      <w:color w:val="auto"/>
    </w:rPr>
  </w:style>
  <w:style w:type="character" w:styleId="Hyperlink">
    <w:name w:val="Hyperlink"/>
    <w:uiPriority w:val="99"/>
    <w:rsid w:val="000606BE"/>
    <w:rPr>
      <w:color w:val="0000FF"/>
      <w:u w:val="single"/>
    </w:rPr>
  </w:style>
  <w:style w:type="paragraph" w:styleId="ListParagraph">
    <w:name w:val="List Paragraph"/>
    <w:aliases w:val="Orange Bullets"/>
    <w:basedOn w:val="Normal"/>
    <w:link w:val="ListParagraphChar"/>
    <w:uiPriority w:val="34"/>
    <w:qFormat/>
    <w:rsid w:val="00804E7B"/>
    <w:pPr>
      <w:ind w:left="720"/>
      <w:contextualSpacing/>
    </w:pPr>
  </w:style>
  <w:style w:type="character" w:customStyle="1" w:styleId="FooterChar">
    <w:name w:val="Footer Char"/>
    <w:basedOn w:val="DefaultParagraphFont"/>
    <w:link w:val="Footer"/>
    <w:uiPriority w:val="99"/>
    <w:rsid w:val="009347EC"/>
    <w:rPr>
      <w:sz w:val="24"/>
      <w:lang w:eastAsia="en-US"/>
    </w:rPr>
  </w:style>
  <w:style w:type="character" w:styleId="PlaceholderText">
    <w:name w:val="Placeholder Text"/>
    <w:basedOn w:val="DefaultParagraphFont"/>
    <w:uiPriority w:val="99"/>
    <w:semiHidden/>
    <w:rsid w:val="005B61E2"/>
    <w:rPr>
      <w:color w:val="808080"/>
    </w:rPr>
  </w:style>
  <w:style w:type="character" w:customStyle="1" w:styleId="frag-name2">
    <w:name w:val="frag-name2"/>
    <w:basedOn w:val="DefaultParagraphFont"/>
    <w:rsid w:val="00E65AD4"/>
  </w:style>
  <w:style w:type="character" w:customStyle="1" w:styleId="ListParagraphChar">
    <w:name w:val="List Paragraph Char"/>
    <w:aliases w:val="Orange Bullets Char"/>
    <w:link w:val="ListParagraph"/>
    <w:uiPriority w:val="34"/>
    <w:rsid w:val="00E65AD4"/>
    <w:rPr>
      <w:sz w:val="24"/>
      <w:lang w:eastAsia="en-US"/>
    </w:rPr>
  </w:style>
  <w:style w:type="paragraph" w:customStyle="1" w:styleId="Default">
    <w:name w:val="Default"/>
    <w:rsid w:val="004A6F9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01608"/>
    <w:rPr>
      <w:rFonts w:ascii="Times New Roman" w:eastAsiaTheme="minorHAnsi" w:hAnsi="Times New Roman"/>
      <w:sz w:val="24"/>
      <w:szCs w:val="24"/>
      <w:lang w:eastAsia="en-AU"/>
    </w:rPr>
  </w:style>
  <w:style w:type="paragraph" w:styleId="Caption">
    <w:name w:val="caption"/>
    <w:basedOn w:val="Normal"/>
    <w:next w:val="Normal"/>
    <w:unhideWhenUsed/>
    <w:qFormat/>
    <w:rsid w:val="003176B9"/>
    <w:pPr>
      <w:spacing w:after="200"/>
    </w:pPr>
    <w:rPr>
      <w:rFonts w:ascii="Times New Roman" w:hAnsi="Times New Roman"/>
      <w:i/>
      <w:iCs/>
      <w:color w:val="1F497D" w:themeColor="text2"/>
      <w:sz w:val="18"/>
      <w:szCs w:val="18"/>
    </w:rPr>
  </w:style>
  <w:style w:type="paragraph" w:styleId="FootnoteText">
    <w:name w:val="footnote text"/>
    <w:basedOn w:val="Normal"/>
    <w:link w:val="FootnoteTextChar"/>
    <w:semiHidden/>
    <w:unhideWhenUsed/>
    <w:rsid w:val="003176B9"/>
    <w:rPr>
      <w:rFonts w:ascii="Times New Roman" w:hAnsi="Times New Roman"/>
      <w:sz w:val="20"/>
    </w:rPr>
  </w:style>
  <w:style w:type="character" w:customStyle="1" w:styleId="FootnoteTextChar">
    <w:name w:val="Footnote Text Char"/>
    <w:basedOn w:val="DefaultParagraphFont"/>
    <w:link w:val="FootnoteText"/>
    <w:semiHidden/>
    <w:rsid w:val="003176B9"/>
    <w:rPr>
      <w:lang w:eastAsia="en-US"/>
    </w:rPr>
  </w:style>
  <w:style w:type="character" w:styleId="FootnoteReference">
    <w:name w:val="footnote reference"/>
    <w:basedOn w:val="DefaultParagraphFont"/>
    <w:semiHidden/>
    <w:unhideWhenUsed/>
    <w:rsid w:val="003176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4237">
      <w:bodyDiv w:val="1"/>
      <w:marLeft w:val="0"/>
      <w:marRight w:val="0"/>
      <w:marTop w:val="0"/>
      <w:marBottom w:val="0"/>
      <w:divBdr>
        <w:top w:val="none" w:sz="0" w:space="0" w:color="auto"/>
        <w:left w:val="none" w:sz="0" w:space="0" w:color="auto"/>
        <w:bottom w:val="none" w:sz="0" w:space="0" w:color="auto"/>
        <w:right w:val="none" w:sz="0" w:space="0" w:color="auto"/>
      </w:divBdr>
    </w:div>
    <w:div w:id="125786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cgi-bin/ahdb/search.pl?mode=place_detail;search=place_name%3Dwhite%2520city%3Bkeyword_PD%3Don%3Bkeyword_SS%3Don%3Bkeyword_PH%3Don%3Blatitude_1dir%3DS%3Blongitude_1dir%3DE%3Blongitude_2dir%3DE%3Blatitude_2dir%3DS%3Bin_region%3Dpart;place_id=10198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Authority\authdoc\templates\NSW_HERIT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36298832EE4D7E9D7C32FA85637EEF"/>
        <w:category>
          <w:name w:val="General"/>
          <w:gallery w:val="placeholder"/>
        </w:category>
        <w:types>
          <w:type w:val="bbPlcHdr"/>
        </w:types>
        <w:behaviors>
          <w:behavior w:val="content"/>
        </w:behaviors>
        <w:guid w:val="{508687F3-DB11-4D0C-8C3C-6FEA52FA093C}"/>
      </w:docPartPr>
      <w:docPartBody>
        <w:p w:rsidR="00934366" w:rsidRDefault="009C5674">
          <w:pPr>
            <w:pStyle w:val="BF36298832EE4D7E9D7C32FA85637EEF"/>
          </w:pPr>
          <w:r w:rsidRPr="008F5D78">
            <w:rPr>
              <w:rStyle w:val="PlaceholderText"/>
            </w:rPr>
            <w:t>Choose an item.</w:t>
          </w:r>
        </w:p>
      </w:docPartBody>
    </w:docPart>
    <w:docPart>
      <w:docPartPr>
        <w:name w:val="A734663841F14EBF8EDB02ECEB4F93E0"/>
        <w:category>
          <w:name w:val="General"/>
          <w:gallery w:val="placeholder"/>
        </w:category>
        <w:types>
          <w:type w:val="bbPlcHdr"/>
        </w:types>
        <w:behaviors>
          <w:behavior w:val="content"/>
        </w:behaviors>
        <w:guid w:val="{2FBF9CA7-2C62-4310-B7E0-409647E0F5CA}"/>
      </w:docPartPr>
      <w:docPartBody>
        <w:p w:rsidR="00934366" w:rsidRDefault="009C5674">
          <w:pPr>
            <w:pStyle w:val="A734663841F14EBF8EDB02ECEB4F93E0"/>
          </w:pPr>
          <w:r w:rsidRPr="008F5D7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366"/>
    <w:rsid w:val="00612270"/>
    <w:rsid w:val="00934366"/>
    <w:rsid w:val="009C5674"/>
    <w:rsid w:val="00C36F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F36298832EE4D7E9D7C32FA85637EEF">
    <w:name w:val="BF36298832EE4D7E9D7C32FA85637EEF"/>
  </w:style>
  <w:style w:type="paragraph" w:customStyle="1" w:styleId="A734663841F14EBF8EDB02ECEB4F93E0">
    <w:name w:val="A734663841F14EBF8EDB02ECEB4F93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5BD7A-5220-43A4-8F0C-84D94922E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NSW_HERITA</Template>
  <TotalTime>477</TotalTime>
  <Pages>9</Pages>
  <Words>3864</Words>
  <Characters>20984</Characters>
  <Application>Microsoft Office Word</Application>
  <DocSecurity>0</DocSecurity>
  <Lines>582</Lines>
  <Paragraphs>200</Paragraphs>
  <ScaleCrop>false</ScaleCrop>
  <HeadingPairs>
    <vt:vector size="2" baseType="variant">
      <vt:variant>
        <vt:lpstr>Title</vt:lpstr>
      </vt:variant>
      <vt:variant>
        <vt:i4>1</vt:i4>
      </vt:variant>
    </vt:vector>
  </HeadingPairs>
  <TitlesOfParts>
    <vt:vector size="1" baseType="lpstr">
      <vt:lpstr>14 February 2001</vt:lpstr>
    </vt:vector>
  </TitlesOfParts>
  <Company>Woollahra Council</Company>
  <LinksUpToDate>false</LinksUpToDate>
  <CharactersWithSpaces>24648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February 2001</dc:title>
  <dc:creator>Nastaran Forouzesh</dc:creator>
  <cp:lastModifiedBy>Nastaran Forouzesh</cp:lastModifiedBy>
  <cp:revision>24</cp:revision>
  <cp:lastPrinted>2023-11-20T03:08:00Z</cp:lastPrinted>
  <dcterms:created xsi:type="dcterms:W3CDTF">2023-11-17T02:29:00Z</dcterms:created>
  <dcterms:modified xsi:type="dcterms:W3CDTF">2023-11-20T04:04:00Z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cro Buildinfo">
    <vt:lpwstr>Revision: 1888729 - Build Date: 2022/05/30 12:43:37 - Revision Range: 1888734-Not mixed</vt:lpwstr>
  </property>
  <property fmtid="{D5CDD505-2E9C-101B-9397-08002B2CF9AE}" pid="3" name="ser_num">
    <vt:lpwstr>5193909</vt:lpwstr>
  </property>
  <property fmtid="{D5CDD505-2E9C-101B-9397-08002B2CF9AE}" pid="4" name="conditions added">
    <vt:lpwstr>True</vt:lpwstr>
  </property>
</Properties>
</file>